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5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6661"/>
      </w:tblGrid>
      <w:tr w:rsidR="00E35396" w:rsidRPr="00CB0919" w14:paraId="53EACF19" w14:textId="77777777" w:rsidTr="003F1C3B">
        <w:trPr>
          <w:trHeight w:val="3049"/>
        </w:trPr>
        <w:tc>
          <w:tcPr>
            <w:tcW w:w="3077" w:type="dxa"/>
          </w:tcPr>
          <w:p w14:paraId="3CAE1729" w14:textId="77777777" w:rsidR="00E35396" w:rsidRDefault="00E35396" w:rsidP="003F1C3B">
            <w:pPr>
              <w:jc w:val="center"/>
              <w:rPr>
                <w:rFonts w:ascii="Gilroy-Regular" w:hAnsi="Gilroy-Regular"/>
                <w:sz w:val="21"/>
                <w:szCs w:val="21"/>
              </w:rPr>
            </w:pPr>
          </w:p>
          <w:p w14:paraId="15210D7C" w14:textId="77777777" w:rsidR="001B0FC5" w:rsidRPr="001B0FC5" w:rsidRDefault="001B0FC5" w:rsidP="001B0FC5">
            <w:pPr>
              <w:rPr>
                <w:rFonts w:ascii="Gilroy-Regular" w:hAnsi="Gilroy-Regular"/>
                <w:sz w:val="21"/>
                <w:szCs w:val="21"/>
              </w:rPr>
            </w:pPr>
          </w:p>
          <w:p w14:paraId="248A4381" w14:textId="4B264103" w:rsidR="001B0FC5" w:rsidRPr="001B0FC5" w:rsidRDefault="009A501B" w:rsidP="009A501B">
            <w:pPr>
              <w:rPr>
                <w:rFonts w:ascii="Gilroy-Regular" w:hAnsi="Gilroy-Regular"/>
                <w:sz w:val="21"/>
                <w:szCs w:val="21"/>
              </w:rPr>
            </w:pPr>
            <w:r>
              <w:rPr>
                <w:rFonts w:ascii="Gilroy-Regular" w:hAnsi="Gilroy-Regular"/>
                <w:noProof/>
                <w:sz w:val="21"/>
                <w:szCs w:val="21"/>
                <w14:ligatures w14:val="standardContextual"/>
              </w:rPr>
              <w:drawing>
                <wp:inline distT="0" distB="0" distL="0" distR="0" wp14:anchorId="5CAB9D39" wp14:editId="0B4D6466">
                  <wp:extent cx="1816735" cy="1816735"/>
                  <wp:effectExtent l="0" t="0" r="0" b="0"/>
                  <wp:docPr id="931000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0018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735" cy="1816735"/>
                          </a:xfrm>
                          <a:prstGeom prst="rect">
                            <a:avLst/>
                          </a:prstGeom>
                        </pic:spPr>
                      </pic:pic>
                    </a:graphicData>
                  </a:graphic>
                </wp:inline>
              </w:drawing>
            </w:r>
          </w:p>
        </w:tc>
        <w:tc>
          <w:tcPr>
            <w:tcW w:w="6661" w:type="dxa"/>
          </w:tcPr>
          <w:p w14:paraId="674C84CD" w14:textId="77777777" w:rsidR="00E35396" w:rsidRPr="00CB0919" w:rsidRDefault="00E35396" w:rsidP="003F1C3B">
            <w:pPr>
              <w:spacing w:after="0" w:line="240" w:lineRule="auto"/>
              <w:rPr>
                <w:rFonts w:ascii="Gilroy-Regular" w:hAnsi="Gilroy-Regular" w:cs="Arial"/>
                <w:b/>
                <w:bCs/>
                <w:color w:val="002952"/>
                <w:sz w:val="21"/>
                <w:szCs w:val="21"/>
              </w:rPr>
            </w:pPr>
          </w:p>
          <w:p w14:paraId="7D8F9D9C" w14:textId="77777777" w:rsidR="00E35396" w:rsidRPr="00CB0919" w:rsidRDefault="00E35396" w:rsidP="003F1C3B">
            <w:pPr>
              <w:spacing w:after="0" w:line="240" w:lineRule="auto"/>
              <w:rPr>
                <w:rFonts w:ascii="Gilroy-Regular" w:hAnsi="Gilroy-Regular" w:cs="Arial"/>
                <w:b/>
                <w:bCs/>
                <w:color w:val="002952"/>
                <w:sz w:val="21"/>
                <w:szCs w:val="21"/>
              </w:rPr>
            </w:pPr>
          </w:p>
          <w:p w14:paraId="099E7485" w14:textId="77777777" w:rsidR="00E35396" w:rsidRPr="00CB0919" w:rsidRDefault="00E35396" w:rsidP="003F1C3B">
            <w:pPr>
              <w:spacing w:after="0" w:line="240" w:lineRule="auto"/>
              <w:rPr>
                <w:rFonts w:ascii="Gilroy-Regular" w:hAnsi="Gilroy-Regular" w:cs="Arial"/>
                <w:b/>
                <w:bCs/>
                <w:color w:val="002952"/>
                <w:sz w:val="21"/>
                <w:szCs w:val="21"/>
              </w:rPr>
            </w:pPr>
          </w:p>
          <w:p w14:paraId="7FBD8FC0" w14:textId="77777777" w:rsidR="009A501B" w:rsidRDefault="009A501B" w:rsidP="003F1C3B">
            <w:pPr>
              <w:spacing w:after="0" w:line="240" w:lineRule="auto"/>
              <w:rPr>
                <w:rFonts w:ascii="Gilroy-Regular" w:hAnsi="Gilroy-Regular" w:cs="Arial"/>
                <w:b/>
                <w:bCs/>
                <w:color w:val="002952"/>
                <w:sz w:val="21"/>
                <w:szCs w:val="21"/>
              </w:rPr>
            </w:pPr>
          </w:p>
          <w:p w14:paraId="55B56542" w14:textId="77777777" w:rsidR="00B94931" w:rsidRDefault="00B94931" w:rsidP="003F1C3B">
            <w:pPr>
              <w:spacing w:after="0" w:line="240" w:lineRule="auto"/>
              <w:rPr>
                <w:rFonts w:ascii="Gilroy-Regular" w:hAnsi="Gilroy-Regular" w:cs="Arial"/>
                <w:b/>
                <w:bCs/>
                <w:color w:val="002952"/>
                <w:sz w:val="21"/>
                <w:szCs w:val="21"/>
              </w:rPr>
            </w:pPr>
            <w:r w:rsidRPr="00B94931">
              <w:rPr>
                <w:rFonts w:ascii="Gilroy-Regular" w:hAnsi="Gilroy-Regular" w:cs="Arial"/>
                <w:b/>
                <w:bCs/>
                <w:color w:val="002952"/>
                <w:sz w:val="21"/>
                <w:szCs w:val="21"/>
              </w:rPr>
              <w:t xml:space="preserve">Sasha Taktikou White </w:t>
            </w:r>
          </w:p>
          <w:p w14:paraId="6091AA18" w14:textId="687DE6EB" w:rsidR="00E35396" w:rsidRPr="00CB0919" w:rsidRDefault="00B94931" w:rsidP="003F1C3B">
            <w:pPr>
              <w:spacing w:after="0" w:line="240" w:lineRule="auto"/>
              <w:rPr>
                <w:rFonts w:ascii="Gilroy-Regular" w:eastAsia="Calibri" w:hAnsi="Gilroy-Regular" w:cs="Arial"/>
                <w:bCs/>
                <w:color w:val="212121"/>
                <w:sz w:val="21"/>
                <w:szCs w:val="21"/>
                <w:shd w:val="clear" w:color="auto" w:fill="FFFFFF"/>
              </w:rPr>
            </w:pPr>
            <w:r>
              <w:rPr>
                <w:rFonts w:ascii="Gilroy-Regular" w:eastAsia="Calibri" w:hAnsi="Gilroy-Regular" w:cs="Arial"/>
                <w:bCs/>
                <w:color w:val="212121"/>
                <w:sz w:val="21"/>
                <w:szCs w:val="21"/>
                <w:shd w:val="clear" w:color="auto" w:fill="FFFFFF"/>
              </w:rPr>
              <w:t>Senior Legal Counsel</w:t>
            </w:r>
          </w:p>
          <w:p w14:paraId="255F93D8" w14:textId="6BB2DDF0" w:rsidR="00B94931" w:rsidRPr="00CB0919" w:rsidRDefault="00E35396" w:rsidP="00B94931">
            <w:pPr>
              <w:spacing w:after="0"/>
              <w:rPr>
                <w:rFonts w:ascii="Gilroy-Regular" w:hAnsi="Gilroy-Regular" w:cs="Arial"/>
                <w:b/>
                <w:color w:val="002952"/>
                <w:sz w:val="21"/>
                <w:szCs w:val="21"/>
              </w:rPr>
            </w:pPr>
            <w:r w:rsidRPr="00CB0919">
              <w:rPr>
                <w:rFonts w:ascii="Gilroy-Regular" w:hAnsi="Gilroy-Regular"/>
                <w:b/>
                <w:color w:val="4D4D4F"/>
                <w:sz w:val="21"/>
                <w:szCs w:val="21"/>
              </w:rPr>
              <w:br/>
            </w:r>
            <w:r w:rsidR="00B94931" w:rsidRPr="00CB0919">
              <w:rPr>
                <w:rFonts w:ascii="Gilroy-Regular" w:hAnsi="Gilroy-Regular" w:cs="Arial"/>
                <w:b/>
                <w:color w:val="002952"/>
                <w:sz w:val="21"/>
                <w:szCs w:val="21"/>
              </w:rPr>
              <w:t>Dubai</w:t>
            </w:r>
          </w:p>
          <w:p w14:paraId="5EB7951E" w14:textId="77777777" w:rsidR="00B94931" w:rsidRPr="00CB0919" w:rsidRDefault="00B94931" w:rsidP="00B94931">
            <w:pPr>
              <w:spacing w:after="0"/>
              <w:rPr>
                <w:rFonts w:ascii="Gilroy-Regular" w:hAnsi="Gilroy-Regular"/>
                <w:color w:val="4D4D4F"/>
                <w:sz w:val="21"/>
                <w:szCs w:val="21"/>
              </w:rPr>
            </w:pPr>
            <w:r w:rsidRPr="00CB0919">
              <w:rPr>
                <w:rFonts w:ascii="Gilroy-Regular" w:hAnsi="Gilroy-Regular"/>
                <w:color w:val="4D4D4F"/>
                <w:sz w:val="21"/>
                <w:szCs w:val="21"/>
              </w:rPr>
              <w:t>T: +971 4 4228410</w:t>
            </w:r>
          </w:p>
          <w:p w14:paraId="43E07CF6" w14:textId="77777777" w:rsidR="00B94931" w:rsidRPr="00CB0919" w:rsidRDefault="00B94931" w:rsidP="00B94931">
            <w:pPr>
              <w:spacing w:after="0"/>
              <w:jc w:val="both"/>
              <w:rPr>
                <w:rFonts w:ascii="Gilroy-Regular" w:hAnsi="Gilroy-Regular"/>
                <w:color w:val="4D4D4F"/>
                <w:sz w:val="21"/>
                <w:szCs w:val="21"/>
              </w:rPr>
            </w:pPr>
            <w:r w:rsidRPr="00CB0919">
              <w:rPr>
                <w:rFonts w:ascii="Gilroy-Regular" w:hAnsi="Gilroy-Regular"/>
                <w:color w:val="4D4D4F"/>
                <w:sz w:val="21"/>
                <w:szCs w:val="21"/>
              </w:rPr>
              <w:t>Central Park Towers, 34th Floor, P.O. Box: 233066, DIFC, Dubai, UAE</w:t>
            </w:r>
          </w:p>
          <w:p w14:paraId="1E97A32D" w14:textId="77777777" w:rsidR="00B94931" w:rsidRDefault="00B94931" w:rsidP="003C069B">
            <w:pPr>
              <w:spacing w:after="0"/>
              <w:rPr>
                <w:rFonts w:ascii="Gilroy-Regular" w:hAnsi="Gilroy-Regular" w:cs="Arial"/>
                <w:b/>
                <w:color w:val="002952"/>
                <w:sz w:val="21"/>
                <w:szCs w:val="21"/>
              </w:rPr>
            </w:pPr>
          </w:p>
          <w:p w14:paraId="0977D194" w14:textId="349DA38A" w:rsidR="003C069B" w:rsidRPr="00CB0919" w:rsidRDefault="003C069B" w:rsidP="003C069B">
            <w:pPr>
              <w:spacing w:after="0"/>
              <w:rPr>
                <w:rFonts w:ascii="Gilroy-Regular" w:hAnsi="Gilroy-Regular" w:cs="Arial"/>
                <w:b/>
                <w:color w:val="002952"/>
                <w:sz w:val="21"/>
                <w:szCs w:val="21"/>
              </w:rPr>
            </w:pPr>
            <w:r w:rsidRPr="00CB0919">
              <w:rPr>
                <w:rFonts w:ascii="Gilroy-Regular" w:hAnsi="Gilroy-Regular" w:cs="Arial"/>
                <w:b/>
                <w:color w:val="002952"/>
                <w:sz w:val="21"/>
                <w:szCs w:val="21"/>
              </w:rPr>
              <w:t>Abu Dhabi</w:t>
            </w:r>
          </w:p>
          <w:p w14:paraId="49DCEDEB" w14:textId="087D5820" w:rsidR="003C069B" w:rsidRPr="003C069B" w:rsidRDefault="003C069B" w:rsidP="003C069B">
            <w:pPr>
              <w:spacing w:after="0" w:line="252" w:lineRule="auto"/>
              <w:rPr>
                <w:rFonts w:ascii="Gilroy-Regular" w:hAnsi="Gilroy-Regular"/>
                <w:color w:val="4D4D4F"/>
                <w:sz w:val="21"/>
                <w:szCs w:val="21"/>
                <w:lang w:val="en-GB" w:eastAsia="en-GB"/>
              </w:rPr>
            </w:pPr>
            <w:r w:rsidRPr="00CB0919">
              <w:rPr>
                <w:rFonts w:ascii="Gilroy-Regular" w:hAnsi="Gilroy-Regular"/>
                <w:color w:val="4D4D4F"/>
                <w:sz w:val="21"/>
                <w:szCs w:val="21"/>
                <w:lang w:eastAsia="en-GB"/>
              </w:rPr>
              <w:t xml:space="preserve">T: +971 2 </w:t>
            </w:r>
            <w:r>
              <w:rPr>
                <w:rFonts w:ascii="Gilroy-Regular" w:hAnsi="Gilroy-Regular"/>
                <w:color w:val="4D4D4F"/>
                <w:sz w:val="21"/>
                <w:szCs w:val="21"/>
                <w:lang w:eastAsia="en-GB"/>
              </w:rPr>
              <w:t>6717372</w:t>
            </w:r>
            <w:r w:rsidRPr="00CB0919">
              <w:rPr>
                <w:rFonts w:ascii="Cambria" w:hAnsi="Cambria" w:cs="Cambria"/>
                <w:color w:val="4D4D4F"/>
                <w:sz w:val="21"/>
                <w:szCs w:val="21"/>
                <w:lang w:eastAsia="en-GB"/>
              </w:rPr>
              <w:t> </w:t>
            </w:r>
            <w:r w:rsidRPr="00CB0919">
              <w:rPr>
                <w:rFonts w:ascii="Gilroy-Regular" w:hAnsi="Gilroy-Regular"/>
                <w:color w:val="4D4D4F"/>
                <w:sz w:val="21"/>
                <w:szCs w:val="21"/>
                <w:lang w:eastAsia="en-GB"/>
              </w:rPr>
              <w:t xml:space="preserve"> </w:t>
            </w:r>
            <w:r w:rsidRPr="00CB0919">
              <w:rPr>
                <w:rFonts w:ascii="Gilroy-Regular" w:hAnsi="Gilroy-Regular"/>
                <w:color w:val="4D4D4F"/>
                <w:sz w:val="21"/>
                <w:szCs w:val="21"/>
                <w:lang w:eastAsia="en-GB"/>
              </w:rPr>
              <w:br/>
            </w:r>
            <w:r w:rsidRPr="00DB0EBC">
              <w:rPr>
                <w:rFonts w:ascii="Gilroy-Regular" w:hAnsi="Gilroy-Regular"/>
                <w:color w:val="4D4D4F"/>
                <w:sz w:val="21"/>
                <w:szCs w:val="21"/>
                <w:lang w:eastAsia="en-GB"/>
              </w:rPr>
              <w:t>Al Falah Street, Emirates Real Estate Commercial Building, 1st Floor, Office 110</w:t>
            </w:r>
            <w:r w:rsidRPr="00CB0919">
              <w:rPr>
                <w:rFonts w:ascii="Gilroy-Regular" w:hAnsi="Gilroy-Regular"/>
                <w:color w:val="4D4D4F"/>
                <w:sz w:val="21"/>
                <w:szCs w:val="21"/>
                <w:lang w:eastAsia="en-GB"/>
              </w:rPr>
              <w:t>, Abu Dhabi, UAE</w:t>
            </w:r>
          </w:p>
          <w:p w14:paraId="0C7942CE" w14:textId="77777777" w:rsidR="00E35396" w:rsidRPr="00CB0919" w:rsidRDefault="00E35396" w:rsidP="003F1C3B">
            <w:pPr>
              <w:spacing w:after="0" w:line="252" w:lineRule="auto"/>
              <w:rPr>
                <w:rFonts w:ascii="Gilroy-Regular" w:hAnsi="Gilroy-Regular"/>
                <w:color w:val="4D4D4F"/>
                <w:sz w:val="21"/>
                <w:szCs w:val="21"/>
                <w:lang w:eastAsia="en-GB"/>
              </w:rPr>
            </w:pPr>
          </w:p>
          <w:p w14:paraId="23048891" w14:textId="2B57FE7F" w:rsidR="00E35396" w:rsidRPr="00CB0919" w:rsidRDefault="00E35396" w:rsidP="009C035F">
            <w:pPr>
              <w:spacing w:after="0" w:line="240" w:lineRule="auto"/>
              <w:rPr>
                <w:rFonts w:ascii="Gilroy-Regular" w:hAnsi="Gilroy-Regular" w:cs="Arial"/>
                <w:bCs/>
                <w:color w:val="1F3864" w:themeColor="accent1" w:themeShade="80"/>
                <w:sz w:val="21"/>
                <w:szCs w:val="21"/>
              </w:rPr>
            </w:pPr>
            <w:r w:rsidRPr="00CB0919">
              <w:rPr>
                <w:rFonts w:ascii="Gilroy-Regular" w:hAnsi="Gilroy-Regular" w:cs="Arial"/>
                <w:bCs/>
                <w:color w:val="404040" w:themeColor="text1" w:themeTint="BF"/>
                <w:sz w:val="21"/>
                <w:szCs w:val="21"/>
              </w:rPr>
              <w:t xml:space="preserve">Email: </w:t>
            </w:r>
            <w:hyperlink r:id="rId11" w:history="1">
              <w:r w:rsidR="00B94931" w:rsidRPr="00350CFA">
                <w:rPr>
                  <w:rStyle w:val="Hyperlink"/>
                  <w:rFonts w:ascii="Gilroy-Regular" w:hAnsi="Gilroy-Regular" w:cs="Arial"/>
                  <w:bCs/>
                  <w:sz w:val="21"/>
                  <w:szCs w:val="21"/>
                </w:rPr>
                <w:t>sasha@mandcolegal.com</w:t>
              </w:r>
            </w:hyperlink>
            <w:r w:rsidR="009C035F">
              <w:rPr>
                <w:rFonts w:ascii="Gilroy-Regular" w:hAnsi="Gilroy-Regular" w:cs="Arial"/>
                <w:bCs/>
                <w:color w:val="1F3864" w:themeColor="accent1" w:themeShade="80"/>
                <w:sz w:val="21"/>
                <w:szCs w:val="21"/>
              </w:rPr>
              <w:t xml:space="preserve"> </w:t>
            </w:r>
          </w:p>
          <w:p w14:paraId="49EEE308" w14:textId="77777777" w:rsidR="00E35396" w:rsidRDefault="00E35396" w:rsidP="009A501B">
            <w:pPr>
              <w:spacing w:after="0" w:line="240" w:lineRule="auto"/>
              <w:rPr>
                <w:rFonts w:ascii="Gilroy-Regular" w:hAnsi="Gilroy-Regular" w:cs="Arial"/>
                <w:bCs/>
                <w:color w:val="404040" w:themeColor="text1" w:themeTint="BF"/>
                <w:sz w:val="21"/>
                <w:szCs w:val="21"/>
              </w:rPr>
            </w:pPr>
            <w:r w:rsidRPr="00CB0919">
              <w:rPr>
                <w:rFonts w:ascii="Gilroy-Regular" w:hAnsi="Gilroy-Regular" w:cs="Arial"/>
                <w:bCs/>
                <w:color w:val="404040" w:themeColor="text1" w:themeTint="BF"/>
                <w:sz w:val="21"/>
                <w:szCs w:val="21"/>
              </w:rPr>
              <w:t xml:space="preserve">Website: </w:t>
            </w:r>
            <w:hyperlink r:id="rId12" w:history="1">
              <w:r w:rsidR="009C035F" w:rsidRPr="00C46473">
                <w:rPr>
                  <w:rStyle w:val="Hyperlink"/>
                </w:rPr>
                <w:t>www.mandcolegal.com</w:t>
              </w:r>
            </w:hyperlink>
            <w:r w:rsidR="009C035F">
              <w:t xml:space="preserve"> </w:t>
            </w:r>
          </w:p>
          <w:p w14:paraId="65ED1927" w14:textId="1598FFA9" w:rsidR="009A501B" w:rsidRPr="009A501B" w:rsidRDefault="009A501B" w:rsidP="009A501B">
            <w:pPr>
              <w:spacing w:after="0" w:line="240" w:lineRule="auto"/>
              <w:rPr>
                <w:rFonts w:ascii="Gilroy-Regular" w:hAnsi="Gilroy-Regular" w:cs="Arial"/>
                <w:bCs/>
                <w:color w:val="404040" w:themeColor="text1" w:themeTint="BF"/>
                <w:sz w:val="21"/>
                <w:szCs w:val="21"/>
              </w:rPr>
            </w:pPr>
          </w:p>
        </w:tc>
      </w:tr>
      <w:tr w:rsidR="00E35396" w:rsidRPr="00CB0919" w14:paraId="4CB177FC" w14:textId="77777777" w:rsidTr="003F1C3B">
        <w:trPr>
          <w:trHeight w:val="82"/>
        </w:trPr>
        <w:tc>
          <w:tcPr>
            <w:tcW w:w="3077" w:type="dxa"/>
            <w:shd w:val="clear" w:color="auto" w:fill="FFFFFF" w:themeFill="background1"/>
          </w:tcPr>
          <w:p w14:paraId="1849F3A3" w14:textId="77777777" w:rsidR="00E35396" w:rsidRPr="00CB0919" w:rsidRDefault="00E35396" w:rsidP="003F1C3B">
            <w:pPr>
              <w:spacing w:after="0" w:line="240" w:lineRule="auto"/>
              <w:rPr>
                <w:rFonts w:ascii="Gilroy-Regular" w:hAnsi="Gilroy-Regular"/>
                <w:b/>
                <w:color w:val="002952"/>
                <w:sz w:val="21"/>
                <w:szCs w:val="21"/>
              </w:rPr>
            </w:pPr>
            <w:r w:rsidRPr="00CB0919">
              <w:rPr>
                <w:rFonts w:ascii="Gilroy-Regular" w:hAnsi="Gilroy-Regular"/>
                <w:b/>
                <w:color w:val="002952"/>
                <w:sz w:val="21"/>
                <w:szCs w:val="21"/>
              </w:rPr>
              <w:t>Areas of Practice</w:t>
            </w:r>
          </w:p>
          <w:p w14:paraId="6814849C" w14:textId="77777777" w:rsidR="00E35396" w:rsidRPr="00CB0919" w:rsidRDefault="00E35396" w:rsidP="003F1C3B">
            <w:pPr>
              <w:spacing w:after="0" w:line="240" w:lineRule="auto"/>
              <w:rPr>
                <w:rFonts w:ascii="Gilroy-Regular" w:hAnsi="Gilroy-Regular"/>
                <w:b/>
                <w:color w:val="002952"/>
                <w:sz w:val="21"/>
                <w:szCs w:val="21"/>
              </w:rPr>
            </w:pPr>
          </w:p>
          <w:p w14:paraId="777F0642" w14:textId="57791B2A" w:rsidR="00B94931" w:rsidRPr="00B94931" w:rsidRDefault="00B94931" w:rsidP="00B94931">
            <w:pPr>
              <w:pStyle w:val="DLAPBioSideBodyText"/>
              <w:numPr>
                <w:ilvl w:val="0"/>
                <w:numId w:val="1"/>
              </w:numPr>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Hospitality Platforms &amp; Branded Developments</w:t>
            </w:r>
          </w:p>
          <w:p w14:paraId="5F1FFA46" w14:textId="6A2F457A" w:rsidR="00B94931" w:rsidRPr="00B94931" w:rsidRDefault="00B94931" w:rsidP="00B94931">
            <w:pPr>
              <w:pStyle w:val="DLAPBioSideBodyText"/>
              <w:numPr>
                <w:ilvl w:val="0"/>
                <w:numId w:val="1"/>
              </w:numPr>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Corporate &amp; Commercial</w:t>
            </w:r>
          </w:p>
          <w:p w14:paraId="68D149A3" w14:textId="526ADC3B" w:rsidR="00B94931" w:rsidRPr="00B94931" w:rsidRDefault="00B94931" w:rsidP="00B94931">
            <w:pPr>
              <w:pStyle w:val="DLAPBioSideBodyText"/>
              <w:numPr>
                <w:ilvl w:val="0"/>
                <w:numId w:val="1"/>
              </w:numPr>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Regulatory &amp; Compliance (DIFC / DFSA aligned)</w:t>
            </w:r>
          </w:p>
          <w:p w14:paraId="4002D5DF" w14:textId="3CB79F1C" w:rsidR="00B94931" w:rsidRPr="00B94931" w:rsidRDefault="00B94931" w:rsidP="00B94931">
            <w:pPr>
              <w:pStyle w:val="DLAPBioSideBodyText"/>
              <w:numPr>
                <w:ilvl w:val="0"/>
                <w:numId w:val="1"/>
              </w:numPr>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Board Governance &amp; Risk Architecture</w:t>
            </w:r>
          </w:p>
          <w:p w14:paraId="47D395D1" w14:textId="4274333E" w:rsidR="00B94931" w:rsidRPr="00B94931" w:rsidRDefault="00B94931" w:rsidP="00B94931">
            <w:pPr>
              <w:pStyle w:val="DLAPBioSideBodyText"/>
              <w:numPr>
                <w:ilvl w:val="0"/>
                <w:numId w:val="1"/>
              </w:numPr>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Cross-Border Structuring &amp; SPVs</w:t>
            </w:r>
          </w:p>
          <w:p w14:paraId="382B3BA5" w14:textId="2C7CFA8F" w:rsidR="00E35396" w:rsidRPr="00B94931" w:rsidRDefault="00B94931" w:rsidP="00B94931">
            <w:pPr>
              <w:pStyle w:val="DLAPBioSideBodyText"/>
              <w:numPr>
                <w:ilvl w:val="0"/>
                <w:numId w:val="1"/>
              </w:numPr>
              <w:rPr>
                <w:rFonts w:ascii="Gilroy-Regular" w:hAnsi="Gilroy-Regular" w:cs="Arial"/>
                <w:color w:val="404040" w:themeColor="text1" w:themeTint="BF"/>
                <w:sz w:val="21"/>
                <w:szCs w:val="21"/>
                <w:lang w:val="en-US"/>
              </w:rPr>
            </w:pPr>
            <w:r w:rsidRPr="00B94931">
              <w:rPr>
                <w:rFonts w:ascii="Gilroy-Regular" w:hAnsi="Gilroy-Regular" w:cs="Arial"/>
                <w:bCs/>
                <w:color w:val="404040" w:themeColor="text1" w:themeTint="BF"/>
                <w:kern w:val="32"/>
                <w:sz w:val="21"/>
                <w:szCs w:val="21"/>
              </w:rPr>
              <w:t>Real Estate &amp; Private Equity</w:t>
            </w:r>
          </w:p>
          <w:p w14:paraId="4DF1635C" w14:textId="77777777" w:rsidR="00B94931" w:rsidRPr="00B94931" w:rsidRDefault="00B94931" w:rsidP="00B94931">
            <w:pPr>
              <w:pStyle w:val="DLAPBioSideBodyText"/>
              <w:ind w:left="360"/>
              <w:rPr>
                <w:rFonts w:ascii="Gilroy-Regular" w:hAnsi="Gilroy-Regular" w:cs="Arial"/>
                <w:color w:val="404040" w:themeColor="text1" w:themeTint="BF"/>
                <w:sz w:val="21"/>
                <w:szCs w:val="21"/>
                <w:lang w:val="en-US"/>
              </w:rPr>
            </w:pPr>
          </w:p>
          <w:p w14:paraId="6D9C045A" w14:textId="77777777" w:rsidR="00E35396" w:rsidRPr="00CB0919" w:rsidRDefault="00E35396" w:rsidP="003F1C3B">
            <w:pPr>
              <w:spacing w:after="0" w:line="240" w:lineRule="auto"/>
              <w:rPr>
                <w:rFonts w:ascii="Gilroy-Regular" w:hAnsi="Gilroy-Regular"/>
                <w:b/>
                <w:color w:val="002952"/>
                <w:sz w:val="21"/>
                <w:szCs w:val="21"/>
              </w:rPr>
            </w:pPr>
            <w:r w:rsidRPr="00CB0919">
              <w:rPr>
                <w:rFonts w:ascii="Gilroy-Regular" w:hAnsi="Gilroy-Regular"/>
                <w:b/>
                <w:color w:val="002952"/>
                <w:sz w:val="21"/>
                <w:szCs w:val="21"/>
              </w:rPr>
              <w:t>Education</w:t>
            </w:r>
          </w:p>
          <w:p w14:paraId="155FE19D" w14:textId="77777777" w:rsidR="00E35396" w:rsidRPr="00CB0919" w:rsidRDefault="00E35396" w:rsidP="003F1C3B">
            <w:pPr>
              <w:spacing w:after="0" w:line="240" w:lineRule="auto"/>
              <w:rPr>
                <w:rFonts w:ascii="Gilroy-Regular" w:hAnsi="Gilroy-Regular"/>
                <w:b/>
                <w:color w:val="002952"/>
                <w:sz w:val="21"/>
                <w:szCs w:val="21"/>
              </w:rPr>
            </w:pPr>
          </w:p>
          <w:p w14:paraId="3B1DA93D" w14:textId="07336E99" w:rsidR="00B94931" w:rsidRPr="00B94931" w:rsidRDefault="00B94931" w:rsidP="00B94931">
            <w:pPr>
              <w:pStyle w:val="DLAPBodyText"/>
              <w:numPr>
                <w:ilvl w:val="0"/>
                <w:numId w:val="1"/>
              </w:numPr>
              <w:rPr>
                <w:rFonts w:ascii="Gilroy-Regular" w:hAnsi="Gilroy-Regular"/>
                <w:b/>
                <w:color w:val="404040" w:themeColor="text1" w:themeTint="BF"/>
                <w:sz w:val="21"/>
                <w:szCs w:val="21"/>
              </w:rPr>
            </w:pPr>
            <w:r w:rsidRPr="00B94931">
              <w:rPr>
                <w:rFonts w:ascii="Gilroy-Regular" w:hAnsi="Gilroy-Regular"/>
                <w:b/>
                <w:color w:val="404040" w:themeColor="text1" w:themeTint="BF"/>
                <w:sz w:val="21"/>
                <w:szCs w:val="21"/>
              </w:rPr>
              <w:t>University of Hull, United Kingdom</w:t>
            </w:r>
            <w:r>
              <w:rPr>
                <w:rFonts w:ascii="Gilroy-Regular" w:hAnsi="Gilroy-Regular"/>
                <w:b/>
                <w:color w:val="404040" w:themeColor="text1" w:themeTint="BF"/>
                <w:sz w:val="21"/>
                <w:szCs w:val="21"/>
              </w:rPr>
              <w:t xml:space="preserve"> - </w:t>
            </w:r>
            <w:r w:rsidRPr="00B94931">
              <w:rPr>
                <w:rFonts w:ascii="Gilroy-Regular" w:hAnsi="Gilroy-Regular"/>
                <w:bCs w:val="0"/>
                <w:color w:val="404040" w:themeColor="text1" w:themeTint="BF"/>
                <w:sz w:val="21"/>
                <w:szCs w:val="21"/>
              </w:rPr>
              <w:t xml:space="preserve">Bachelor of Laws (LL.B.) &amp; Master of Laws (LL.M.), International Business Law </w:t>
            </w:r>
          </w:p>
          <w:p w14:paraId="7BBC2EB3" w14:textId="2EB3F2E4" w:rsidR="00B94931" w:rsidRPr="00B94931" w:rsidRDefault="00B94931" w:rsidP="00B94931">
            <w:pPr>
              <w:pStyle w:val="DLAPBodyText"/>
              <w:numPr>
                <w:ilvl w:val="0"/>
                <w:numId w:val="1"/>
              </w:numPr>
              <w:rPr>
                <w:rFonts w:ascii="Gilroy-Regular" w:hAnsi="Gilroy-Regular"/>
                <w:b/>
                <w:color w:val="404040" w:themeColor="text1" w:themeTint="BF"/>
                <w:sz w:val="21"/>
                <w:szCs w:val="21"/>
              </w:rPr>
            </w:pPr>
            <w:r w:rsidRPr="00B94931">
              <w:rPr>
                <w:rFonts w:ascii="Gilroy-Regular" w:hAnsi="Gilroy-Regular"/>
                <w:b/>
                <w:color w:val="404040" w:themeColor="text1" w:themeTint="BF"/>
                <w:sz w:val="21"/>
                <w:szCs w:val="21"/>
              </w:rPr>
              <w:t xml:space="preserve">National &amp; </w:t>
            </w:r>
            <w:proofErr w:type="spellStart"/>
            <w:r w:rsidRPr="00B94931">
              <w:rPr>
                <w:rFonts w:ascii="Gilroy-Regular" w:hAnsi="Gilroy-Regular"/>
                <w:b/>
                <w:color w:val="404040" w:themeColor="text1" w:themeTint="BF"/>
                <w:sz w:val="21"/>
                <w:szCs w:val="21"/>
              </w:rPr>
              <w:t>Kapodistrian</w:t>
            </w:r>
            <w:proofErr w:type="spellEnd"/>
            <w:r w:rsidRPr="00B94931">
              <w:rPr>
                <w:rFonts w:ascii="Gilroy-Regular" w:hAnsi="Gilroy-Regular"/>
                <w:b/>
                <w:color w:val="404040" w:themeColor="text1" w:themeTint="BF"/>
                <w:sz w:val="21"/>
                <w:szCs w:val="21"/>
              </w:rPr>
              <w:t xml:space="preserve"> University of Athens, Greece</w:t>
            </w:r>
            <w:r>
              <w:rPr>
                <w:rFonts w:ascii="Gilroy-Regular" w:hAnsi="Gilroy-Regular"/>
                <w:b/>
                <w:color w:val="404040" w:themeColor="text1" w:themeTint="BF"/>
                <w:sz w:val="21"/>
                <w:szCs w:val="21"/>
              </w:rPr>
              <w:t xml:space="preserve"> - </w:t>
            </w:r>
            <w:r w:rsidRPr="00B94931">
              <w:rPr>
                <w:rFonts w:ascii="Gilroy-Regular" w:hAnsi="Gilroy-Regular"/>
                <w:bCs w:val="0"/>
                <w:color w:val="404040" w:themeColor="text1" w:themeTint="BF"/>
                <w:sz w:val="21"/>
                <w:szCs w:val="21"/>
              </w:rPr>
              <w:t>Bachelor of Laws (LL.B.)</w:t>
            </w:r>
          </w:p>
          <w:p w14:paraId="077876CC" w14:textId="1C2982F2" w:rsidR="00B94931" w:rsidRPr="00B94931" w:rsidRDefault="00B94931" w:rsidP="00B94931">
            <w:pPr>
              <w:pStyle w:val="DLAPBodyText"/>
              <w:numPr>
                <w:ilvl w:val="0"/>
                <w:numId w:val="1"/>
              </w:numPr>
              <w:rPr>
                <w:rFonts w:ascii="Gilroy-Regular" w:hAnsi="Gilroy-Regular"/>
                <w:b/>
                <w:color w:val="404040" w:themeColor="text1" w:themeTint="BF"/>
                <w:sz w:val="21"/>
                <w:szCs w:val="21"/>
              </w:rPr>
            </w:pPr>
            <w:r w:rsidRPr="00B94931">
              <w:rPr>
                <w:rFonts w:ascii="Gilroy-Regular" w:hAnsi="Gilroy-Regular"/>
                <w:b/>
                <w:color w:val="404040" w:themeColor="text1" w:themeTint="BF"/>
                <w:sz w:val="21"/>
                <w:szCs w:val="21"/>
              </w:rPr>
              <w:t>University of San Diego, USA</w:t>
            </w:r>
            <w:r>
              <w:rPr>
                <w:rFonts w:ascii="Gilroy-Regular" w:hAnsi="Gilroy-Regular"/>
                <w:b/>
                <w:color w:val="404040" w:themeColor="text1" w:themeTint="BF"/>
                <w:sz w:val="21"/>
                <w:szCs w:val="21"/>
              </w:rPr>
              <w:t xml:space="preserve"> - </w:t>
            </w:r>
            <w:r w:rsidRPr="00B94931">
              <w:rPr>
                <w:rFonts w:ascii="Gilroy-Regular" w:hAnsi="Gilroy-Regular"/>
                <w:bCs w:val="0"/>
                <w:color w:val="404040" w:themeColor="text1" w:themeTint="BF"/>
                <w:sz w:val="21"/>
                <w:szCs w:val="21"/>
              </w:rPr>
              <w:t>Diploma in American Legal Studies</w:t>
            </w:r>
          </w:p>
          <w:p w14:paraId="47F4756C" w14:textId="77777777" w:rsidR="00B94931" w:rsidRDefault="00B94931" w:rsidP="00B94931">
            <w:pPr>
              <w:ind w:left="360"/>
              <w:rPr>
                <w:rFonts w:ascii="Gilroy-Regular" w:hAnsi="Gilroy-Regular" w:cs="Arial"/>
                <w:b/>
                <w:color w:val="002952"/>
                <w:sz w:val="21"/>
                <w:szCs w:val="21"/>
              </w:rPr>
            </w:pPr>
          </w:p>
          <w:p w14:paraId="00EF91B1" w14:textId="77777777" w:rsidR="00B94931" w:rsidRDefault="00B94931" w:rsidP="00B94931">
            <w:pPr>
              <w:ind w:left="360"/>
              <w:rPr>
                <w:rFonts w:ascii="Gilroy-Regular" w:hAnsi="Gilroy-Regular" w:cs="Arial"/>
                <w:b/>
                <w:color w:val="002952"/>
                <w:sz w:val="21"/>
                <w:szCs w:val="21"/>
              </w:rPr>
            </w:pPr>
          </w:p>
          <w:p w14:paraId="5849209E" w14:textId="7D588508" w:rsidR="00E35396" w:rsidRPr="00CB0919" w:rsidRDefault="00E35396" w:rsidP="00B94931">
            <w:pPr>
              <w:rPr>
                <w:rFonts w:ascii="Gilroy-Regular" w:hAnsi="Gilroy-Regular" w:cs="Arial"/>
                <w:b/>
                <w:color w:val="002952"/>
                <w:sz w:val="21"/>
                <w:szCs w:val="21"/>
              </w:rPr>
            </w:pPr>
            <w:r w:rsidRPr="00CB0919">
              <w:rPr>
                <w:rFonts w:ascii="Gilroy-Regular" w:hAnsi="Gilroy-Regular" w:cs="Arial"/>
                <w:b/>
                <w:color w:val="002952"/>
                <w:sz w:val="21"/>
                <w:szCs w:val="21"/>
              </w:rPr>
              <w:t>Languages</w:t>
            </w:r>
          </w:p>
          <w:p w14:paraId="6AD0F487" w14:textId="511B918C" w:rsidR="00B94931" w:rsidRPr="00B94931" w:rsidRDefault="00B94931" w:rsidP="00B94931">
            <w:pPr>
              <w:pStyle w:val="DLAPBioSideBodyText"/>
              <w:numPr>
                <w:ilvl w:val="0"/>
                <w:numId w:val="1"/>
              </w:numPr>
              <w:jc w:val="both"/>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lastRenderedPageBreak/>
              <w:t>English – Native</w:t>
            </w:r>
          </w:p>
          <w:p w14:paraId="6D41CDDC" w14:textId="2E1E9BCA" w:rsidR="00B94931" w:rsidRPr="00B94931" w:rsidRDefault="00B94931" w:rsidP="00B94931">
            <w:pPr>
              <w:pStyle w:val="DLAPBioSideBodyText"/>
              <w:numPr>
                <w:ilvl w:val="0"/>
                <w:numId w:val="1"/>
              </w:numPr>
              <w:jc w:val="both"/>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Greek – Native</w:t>
            </w:r>
          </w:p>
          <w:p w14:paraId="108363A4" w14:textId="72BF5D03" w:rsidR="00B94931" w:rsidRPr="00B94931" w:rsidRDefault="00B94931" w:rsidP="00B94931">
            <w:pPr>
              <w:pStyle w:val="DLAPBioSideBodyText"/>
              <w:numPr>
                <w:ilvl w:val="0"/>
                <w:numId w:val="1"/>
              </w:numPr>
              <w:jc w:val="both"/>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French – Intermediate</w:t>
            </w:r>
          </w:p>
          <w:p w14:paraId="1B9241A7" w14:textId="6C6969C0" w:rsidR="00B94931" w:rsidRPr="00B94931" w:rsidRDefault="00B94931" w:rsidP="00B94931">
            <w:pPr>
              <w:pStyle w:val="DLAPBioSideBodyText"/>
              <w:numPr>
                <w:ilvl w:val="0"/>
                <w:numId w:val="1"/>
              </w:numPr>
              <w:jc w:val="both"/>
              <w:rPr>
                <w:rFonts w:ascii="Gilroy-Regular" w:hAnsi="Gilroy-Regular" w:cs="Arial"/>
                <w:bCs/>
                <w:color w:val="404040" w:themeColor="text1" w:themeTint="BF"/>
                <w:kern w:val="32"/>
                <w:sz w:val="21"/>
                <w:szCs w:val="21"/>
              </w:rPr>
            </w:pPr>
            <w:r w:rsidRPr="00B94931">
              <w:rPr>
                <w:rFonts w:ascii="Gilroy-Regular" w:hAnsi="Gilroy-Regular" w:cs="Arial"/>
                <w:bCs/>
                <w:color w:val="404040" w:themeColor="text1" w:themeTint="BF"/>
                <w:kern w:val="32"/>
                <w:sz w:val="21"/>
                <w:szCs w:val="21"/>
              </w:rPr>
              <w:t>Italian – Conversational</w:t>
            </w:r>
          </w:p>
          <w:p w14:paraId="29BCDE1E" w14:textId="32E669D9" w:rsidR="00E35396" w:rsidRPr="00CB0919" w:rsidRDefault="00B94931" w:rsidP="00B94931">
            <w:pPr>
              <w:pStyle w:val="DLAPBodyText"/>
              <w:numPr>
                <w:ilvl w:val="0"/>
                <w:numId w:val="1"/>
              </w:numPr>
              <w:spacing w:after="0"/>
              <w:jc w:val="both"/>
              <w:rPr>
                <w:rFonts w:ascii="Gilroy-Regular" w:hAnsi="Gilroy-Regular"/>
                <w:sz w:val="21"/>
                <w:szCs w:val="21"/>
              </w:rPr>
            </w:pPr>
            <w:r w:rsidRPr="00B94931">
              <w:rPr>
                <w:rFonts w:ascii="Gilroy-Regular" w:hAnsi="Gilroy-Regular"/>
                <w:color w:val="404040" w:themeColor="text1" w:themeTint="BF"/>
                <w:sz w:val="21"/>
                <w:szCs w:val="21"/>
              </w:rPr>
              <w:t>Spanish – Conversational</w:t>
            </w:r>
          </w:p>
          <w:p w14:paraId="4DA1E33D" w14:textId="77777777" w:rsidR="00E35396" w:rsidRPr="00CB0919" w:rsidRDefault="00E35396" w:rsidP="003F1C3B">
            <w:pPr>
              <w:pStyle w:val="DLAPBodyText"/>
              <w:spacing w:after="0"/>
              <w:ind w:left="227" w:hanging="227"/>
              <w:jc w:val="both"/>
              <w:rPr>
                <w:rFonts w:ascii="Gilroy-Regular" w:hAnsi="Gilroy-Regular"/>
                <w:sz w:val="21"/>
                <w:szCs w:val="21"/>
              </w:rPr>
            </w:pPr>
          </w:p>
          <w:p w14:paraId="569779CB" w14:textId="77777777" w:rsidR="00E35396" w:rsidRPr="00CB0919" w:rsidRDefault="00E35396" w:rsidP="003F1C3B">
            <w:pPr>
              <w:pStyle w:val="DLAPBodyText"/>
              <w:spacing w:after="0"/>
              <w:ind w:left="0"/>
              <w:jc w:val="both"/>
              <w:rPr>
                <w:rFonts w:ascii="Gilroy-Regular" w:hAnsi="Gilroy-Regular"/>
                <w:sz w:val="21"/>
                <w:szCs w:val="21"/>
              </w:rPr>
            </w:pPr>
          </w:p>
          <w:p w14:paraId="0C284A66" w14:textId="77777777" w:rsidR="00E35396" w:rsidRPr="00CB0919" w:rsidRDefault="00E35396" w:rsidP="003F1C3B">
            <w:pPr>
              <w:rPr>
                <w:rFonts w:ascii="Gilroy-Regular" w:hAnsi="Gilroy-Regular"/>
                <w:sz w:val="21"/>
                <w:szCs w:val="21"/>
                <w:lang w:val="en-GB"/>
              </w:rPr>
            </w:pPr>
          </w:p>
          <w:p w14:paraId="00BAE2E1" w14:textId="77777777" w:rsidR="00E35396" w:rsidRPr="00CB0919" w:rsidRDefault="00E35396" w:rsidP="003F1C3B">
            <w:pPr>
              <w:rPr>
                <w:rFonts w:ascii="Gilroy-Regular" w:hAnsi="Gilroy-Regular"/>
                <w:sz w:val="21"/>
                <w:szCs w:val="21"/>
                <w:lang w:val="en-GB"/>
              </w:rPr>
            </w:pPr>
          </w:p>
          <w:p w14:paraId="1C9E9194" w14:textId="77777777" w:rsidR="00E35396" w:rsidRPr="00CB0919" w:rsidRDefault="00E35396" w:rsidP="003F1C3B">
            <w:pPr>
              <w:rPr>
                <w:rFonts w:ascii="Gilroy-Regular" w:hAnsi="Gilroy-Regular"/>
                <w:sz w:val="21"/>
                <w:szCs w:val="21"/>
                <w:lang w:val="en-GB"/>
              </w:rPr>
            </w:pPr>
          </w:p>
          <w:p w14:paraId="0A43AB51" w14:textId="77777777" w:rsidR="00E35396" w:rsidRPr="00CB0919" w:rsidRDefault="00E35396" w:rsidP="003F1C3B">
            <w:pPr>
              <w:rPr>
                <w:rFonts w:ascii="Gilroy-Regular" w:hAnsi="Gilroy-Regular"/>
                <w:sz w:val="21"/>
                <w:szCs w:val="21"/>
                <w:lang w:val="en-GB"/>
              </w:rPr>
            </w:pPr>
          </w:p>
          <w:p w14:paraId="61100B84" w14:textId="77777777" w:rsidR="00E35396" w:rsidRPr="00CB0919" w:rsidRDefault="00E35396" w:rsidP="003F1C3B">
            <w:pPr>
              <w:rPr>
                <w:rFonts w:ascii="Gilroy-Regular" w:hAnsi="Gilroy-Regular"/>
                <w:sz w:val="21"/>
                <w:szCs w:val="21"/>
                <w:lang w:val="en-GB"/>
              </w:rPr>
            </w:pPr>
          </w:p>
          <w:p w14:paraId="3F96BB48" w14:textId="77777777" w:rsidR="00E35396" w:rsidRPr="00CB0919" w:rsidRDefault="00E35396" w:rsidP="003F1C3B">
            <w:pPr>
              <w:rPr>
                <w:rFonts w:ascii="Gilroy-Regular" w:eastAsia="Times New Roman" w:hAnsi="Gilroy-Regular" w:cs="Arial"/>
                <w:bCs/>
                <w:kern w:val="32"/>
                <w:sz w:val="21"/>
                <w:szCs w:val="21"/>
                <w:lang w:val="en-GB"/>
              </w:rPr>
            </w:pPr>
          </w:p>
          <w:p w14:paraId="149B7FBE" w14:textId="77777777" w:rsidR="00E35396" w:rsidRPr="00CB0919" w:rsidRDefault="00E35396" w:rsidP="003F1C3B">
            <w:pPr>
              <w:jc w:val="center"/>
              <w:rPr>
                <w:rFonts w:ascii="Gilroy-Regular" w:hAnsi="Gilroy-Regular"/>
                <w:sz w:val="21"/>
                <w:szCs w:val="21"/>
                <w:lang w:val="en-GB"/>
              </w:rPr>
            </w:pPr>
          </w:p>
        </w:tc>
        <w:tc>
          <w:tcPr>
            <w:tcW w:w="6661" w:type="dxa"/>
          </w:tcPr>
          <w:p w14:paraId="2C80538C" w14:textId="77777777" w:rsidR="00E35396" w:rsidRPr="00CB0919" w:rsidRDefault="00E35396" w:rsidP="003F1C3B">
            <w:pPr>
              <w:spacing w:after="0" w:line="240" w:lineRule="auto"/>
              <w:rPr>
                <w:rFonts w:ascii="Gilroy-Regular" w:hAnsi="Gilroy-Regular"/>
                <w:b/>
                <w:color w:val="002952"/>
                <w:sz w:val="21"/>
                <w:szCs w:val="21"/>
              </w:rPr>
            </w:pPr>
            <w:r w:rsidRPr="00CB0919">
              <w:rPr>
                <w:rFonts w:ascii="Gilroy-Regular" w:hAnsi="Gilroy-Regular"/>
                <w:b/>
                <w:color w:val="002952"/>
                <w:sz w:val="21"/>
                <w:szCs w:val="21"/>
              </w:rPr>
              <w:lastRenderedPageBreak/>
              <w:t>Summary Profile</w:t>
            </w:r>
          </w:p>
          <w:p w14:paraId="5211EC30" w14:textId="77777777" w:rsidR="00E35396" w:rsidRPr="00CB0919" w:rsidRDefault="00E35396" w:rsidP="003F1C3B">
            <w:pPr>
              <w:spacing w:after="0" w:line="240" w:lineRule="auto"/>
              <w:rPr>
                <w:rFonts w:ascii="Gilroy-Regular" w:hAnsi="Gilroy-Regular"/>
                <w:b/>
                <w:bCs/>
                <w:color w:val="002952"/>
                <w:sz w:val="21"/>
                <w:szCs w:val="21"/>
              </w:rPr>
            </w:pPr>
          </w:p>
          <w:p w14:paraId="1DC3B9EC"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Sasha Taktikou White is a senior legal architect and strategic advisor with over two decades of international experience specialising in hospitality platforms, branded real estate, and cross-border investment structures. She advises principals, boards, family offices, and institutional investors on the design and execution of complex, multi-jurisdictional projects where legal architecture and capital discipline are central to value creation.</w:t>
            </w:r>
          </w:p>
          <w:p w14:paraId="78C052CC"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Her work is distinguished by the structuring of institutional-grade hospitality platforms, integrating real estate ownership, global operator frameworks, brand licensing, and investment participation within cohesive and enforceable governance models. She has been extensively involved in projects featuring internationally recognised hospitality brands, including Six Senses, Baccarat Hotels &amp; Residences, MGM / Bellagio, Marriott, Shangri-La, and Wyndham, ensuring alignment between operator requirements, sponsor objectives, and long-term asset positioning.</w:t>
            </w:r>
          </w:p>
          <w:p w14:paraId="05354191"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Sasha is widely recognised for her ability to translate legal, regulatory, and operational complexity into investor-ready, bankable structures, with clear allocation of risk, robust cross-border enforceability, and protection of brand and asset integrity. Her advisory approach combines technical precision with commercial judgment, enabling the successful delivery of high-value hospitality and real-asset developments across diverse jurisdictions.</w:t>
            </w:r>
          </w:p>
          <w:p w14:paraId="18CABC56" w14:textId="04966C15" w:rsidR="00E06EC7" w:rsidRDefault="00B94931" w:rsidP="00B94931">
            <w:pPr>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She operates within principal-led, highly confidential</w:t>
            </w:r>
            <w:r>
              <w:rPr>
                <w:rFonts w:ascii="Gilroy-Regular" w:eastAsia="Calibri" w:hAnsi="Gilroy-Regular" w:cs="Arial"/>
                <w:color w:val="404040" w:themeColor="text1" w:themeTint="BF"/>
                <w:sz w:val="21"/>
                <w:szCs w:val="21"/>
                <w:shd w:val="clear" w:color="auto" w:fill="FFFFFF"/>
                <w:lang w:val="en-GB"/>
              </w:rPr>
              <w:t xml:space="preserve"> </w:t>
            </w:r>
            <w:r w:rsidRPr="00B94931">
              <w:rPr>
                <w:rFonts w:ascii="Gilroy-Regular" w:eastAsia="Calibri" w:hAnsi="Gilroy-Regular" w:cs="Arial"/>
                <w:color w:val="404040" w:themeColor="text1" w:themeTint="BF"/>
                <w:sz w:val="21"/>
                <w:szCs w:val="21"/>
                <w:shd w:val="clear" w:color="auto" w:fill="FFFFFF"/>
                <w:lang w:val="en-GB"/>
              </w:rPr>
              <w:t>environments, and is trusted to lead legal strategy on mandates involving significant capital deployment, brand partnerships, and multi-layered investment structures.</w:t>
            </w:r>
          </w:p>
          <w:p w14:paraId="3967848F" w14:textId="77777777" w:rsidR="00B94931" w:rsidRDefault="00B94931" w:rsidP="00B94931">
            <w:pPr>
              <w:rPr>
                <w:rFonts w:ascii="Gilroy-Regular" w:hAnsi="Gilroy-Regular" w:cs="Arial"/>
                <w:b/>
                <w:color w:val="002952"/>
                <w:sz w:val="21"/>
                <w:szCs w:val="21"/>
              </w:rPr>
            </w:pPr>
          </w:p>
          <w:p w14:paraId="1919AB75" w14:textId="419C0077" w:rsidR="00E35396" w:rsidRPr="00CB0919" w:rsidRDefault="00E35396" w:rsidP="003F1C3B">
            <w:pPr>
              <w:rPr>
                <w:rFonts w:ascii="Gilroy-Regular" w:hAnsi="Gilroy-Regular" w:cs="Arial"/>
                <w:b/>
                <w:color w:val="002952"/>
                <w:sz w:val="21"/>
                <w:szCs w:val="21"/>
              </w:rPr>
            </w:pPr>
            <w:r w:rsidRPr="00CB0919">
              <w:rPr>
                <w:rFonts w:ascii="Gilroy-Regular" w:hAnsi="Gilroy-Regular" w:cs="Arial"/>
                <w:b/>
                <w:color w:val="002952"/>
                <w:sz w:val="21"/>
                <w:szCs w:val="21"/>
              </w:rPr>
              <w:t>Experience</w:t>
            </w:r>
          </w:p>
          <w:p w14:paraId="0D00A717"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Sasha has led and advised on a broad range of complex, high-value hospitality and investment projects across multiple jurisdictions, including:</w:t>
            </w:r>
          </w:p>
          <w:p w14:paraId="6D16DF24"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lastRenderedPageBreak/>
              <w:t>• Structuring and negotiation of branded hospitality developments and integrated resorts, including hotel management agreements, operator selection, brand licensing, and long-term governance frameworks aligned with international luxury standards</w:t>
            </w:r>
          </w:p>
          <w:p w14:paraId="217B545A"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Legal architecture for hospitality-led mixed-use developments and destination platforms, incorporating branded residences, hotel operations, and investor participation within unified cross-border structures</w:t>
            </w:r>
          </w:p>
          <w:p w14:paraId="135FC64F"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Advisory on multi-jurisdictional hospitality platforms, ensuring alignment between global operators, asset owners, and investors, with a focus on scalability, brand integrity, and institutional governance</w:t>
            </w:r>
          </w:p>
          <w:p w14:paraId="2A35F188"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Structuring and execution of cross-border private equity and joint venture investments, particularly within hospitality and real-asset sectors, including capital deployment strategies and investor protection frameworks</w:t>
            </w:r>
          </w:p>
          <w:p w14:paraId="555B27F0"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Design and implementation of multi-layered SPV and holding structures across the UAE, Europe, offshore jurisdictions, and Africa, supporting international investment flows and platform expansion</w:t>
            </w:r>
          </w:p>
          <w:p w14:paraId="251804A5"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Lead advisory on project finance frameworks for hospitality developments, including lender security packages, escrow arrangements, direct agreements, and flow-of-funds structures</w:t>
            </w:r>
          </w:p>
          <w:p w14:paraId="2576FB58"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Structuring of hospitality brand, licensing, and IP frameworks, ensuring protection, monetisation, and consistency of brand standards across jurisdictions</w:t>
            </w:r>
          </w:p>
          <w:p w14:paraId="0377C07E" w14:textId="60952ACB"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Strategic involvement in construction and commercial dispute resolution relating to hospitality and development projects, including arbitration matters and settlement structuring</w:t>
            </w:r>
          </w:p>
          <w:p w14:paraId="27D95119"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74E93D01" w14:textId="727FB1EA" w:rsidR="00E35396" w:rsidRPr="00CB0919" w:rsidRDefault="00E35396" w:rsidP="00B94931">
            <w:pPr>
              <w:spacing w:after="160" w:line="240" w:lineRule="auto"/>
              <w:jc w:val="both"/>
              <w:rPr>
                <w:rFonts w:ascii="Gilroy-Regular" w:hAnsi="Gilroy-Regular" w:cs="Arial"/>
                <w:b/>
                <w:color w:val="002952"/>
                <w:sz w:val="21"/>
                <w:szCs w:val="21"/>
              </w:rPr>
            </w:pPr>
            <w:r w:rsidRPr="00CB0919">
              <w:rPr>
                <w:rFonts w:ascii="Gilroy-Regular" w:hAnsi="Gilroy-Regular" w:cs="Arial"/>
                <w:b/>
                <w:color w:val="002952"/>
                <w:sz w:val="21"/>
                <w:szCs w:val="21"/>
              </w:rPr>
              <w:t>Focus Area</w:t>
            </w:r>
            <w:r w:rsidR="003C069B">
              <w:rPr>
                <w:rFonts w:ascii="Gilroy-Regular" w:hAnsi="Gilroy-Regular" w:cs="Arial"/>
                <w:b/>
                <w:color w:val="002952"/>
                <w:sz w:val="21"/>
                <w:szCs w:val="21"/>
              </w:rPr>
              <w:t>s</w:t>
            </w:r>
          </w:p>
          <w:p w14:paraId="188C91A3" w14:textId="6F28A1A0" w:rsidR="00B94931" w:rsidRPr="00B94931" w:rsidRDefault="00B94931" w:rsidP="00B94931">
            <w:pPr>
              <w:pStyle w:val="ListParagraph"/>
              <w:numPr>
                <w:ilvl w:val="0"/>
                <w:numId w:val="4"/>
              </w:numPr>
              <w:jc w:val="both"/>
              <w:rPr>
                <w:rFonts w:ascii="Gilroy-Regular" w:eastAsia="Calibri" w:hAnsi="Gilroy-Regular" w:cs="Arial"/>
                <w:color w:val="404040" w:themeColor="text1" w:themeTint="BF"/>
                <w:sz w:val="21"/>
                <w:szCs w:val="21"/>
                <w:shd w:val="clear" w:color="auto" w:fill="FFFFFF"/>
              </w:rPr>
            </w:pPr>
            <w:r w:rsidRPr="00B94931">
              <w:rPr>
                <w:rFonts w:ascii="Gilroy-Regular" w:eastAsia="Calibri" w:hAnsi="Gilroy-Regular" w:cs="Arial"/>
                <w:color w:val="404040" w:themeColor="text1" w:themeTint="BF"/>
                <w:sz w:val="21"/>
                <w:szCs w:val="21"/>
                <w:shd w:val="clear" w:color="auto" w:fill="FFFFFF"/>
              </w:rPr>
              <w:t>Design and implementation of multi-layered SPV and holding structures across the UAE, Europe, offshore jurisdictions, and Africa, supporting international investment flows and platform expansion</w:t>
            </w:r>
          </w:p>
          <w:p w14:paraId="63BBE943" w14:textId="626B2C69" w:rsidR="00B94931" w:rsidRPr="00B94931" w:rsidRDefault="00B94931" w:rsidP="00B94931">
            <w:pPr>
              <w:pStyle w:val="ListParagraph"/>
              <w:numPr>
                <w:ilvl w:val="0"/>
                <w:numId w:val="4"/>
              </w:numPr>
              <w:jc w:val="both"/>
              <w:rPr>
                <w:rFonts w:ascii="Gilroy-Regular" w:eastAsia="Calibri" w:hAnsi="Gilroy-Regular" w:cs="Arial"/>
                <w:color w:val="404040" w:themeColor="text1" w:themeTint="BF"/>
                <w:sz w:val="21"/>
                <w:szCs w:val="21"/>
                <w:shd w:val="clear" w:color="auto" w:fill="FFFFFF"/>
              </w:rPr>
            </w:pPr>
            <w:r w:rsidRPr="00B94931">
              <w:rPr>
                <w:rFonts w:ascii="Gilroy-Regular" w:eastAsia="Calibri" w:hAnsi="Gilroy-Regular" w:cs="Arial"/>
                <w:color w:val="404040" w:themeColor="text1" w:themeTint="BF"/>
                <w:sz w:val="21"/>
                <w:szCs w:val="21"/>
                <w:shd w:val="clear" w:color="auto" w:fill="FFFFFF"/>
              </w:rPr>
              <w:t>Lead advisory on project finance frameworks for hospitality developments, including lender security packages, escrow arrangements, direct agreements, and flow-of-funds structures</w:t>
            </w:r>
          </w:p>
          <w:p w14:paraId="3AF0A162" w14:textId="16AC7FCF" w:rsidR="00B94931" w:rsidRPr="00B94931" w:rsidRDefault="00B94931" w:rsidP="00B94931">
            <w:pPr>
              <w:pStyle w:val="ListParagraph"/>
              <w:numPr>
                <w:ilvl w:val="0"/>
                <w:numId w:val="4"/>
              </w:numPr>
              <w:jc w:val="both"/>
              <w:rPr>
                <w:rFonts w:ascii="Gilroy-Regular" w:eastAsia="Calibri" w:hAnsi="Gilroy-Regular" w:cs="Arial"/>
                <w:color w:val="404040" w:themeColor="text1" w:themeTint="BF"/>
                <w:sz w:val="21"/>
                <w:szCs w:val="21"/>
                <w:shd w:val="clear" w:color="auto" w:fill="FFFFFF"/>
              </w:rPr>
            </w:pPr>
            <w:r w:rsidRPr="00B94931">
              <w:rPr>
                <w:rFonts w:ascii="Gilroy-Regular" w:eastAsia="Calibri" w:hAnsi="Gilroy-Regular" w:cs="Arial"/>
                <w:color w:val="404040" w:themeColor="text1" w:themeTint="BF"/>
                <w:sz w:val="21"/>
                <w:szCs w:val="21"/>
                <w:shd w:val="clear" w:color="auto" w:fill="FFFFFF"/>
              </w:rPr>
              <w:t xml:space="preserve">Structuring of hospitality brand, licensing, and IP frameworks, ensuring protection, </w:t>
            </w:r>
            <w:proofErr w:type="spellStart"/>
            <w:r w:rsidRPr="00B94931">
              <w:rPr>
                <w:rFonts w:ascii="Gilroy-Regular" w:eastAsia="Calibri" w:hAnsi="Gilroy-Regular" w:cs="Arial"/>
                <w:color w:val="404040" w:themeColor="text1" w:themeTint="BF"/>
                <w:sz w:val="21"/>
                <w:szCs w:val="21"/>
                <w:shd w:val="clear" w:color="auto" w:fill="FFFFFF"/>
              </w:rPr>
              <w:t>monetisation</w:t>
            </w:r>
            <w:proofErr w:type="spellEnd"/>
            <w:r w:rsidRPr="00B94931">
              <w:rPr>
                <w:rFonts w:ascii="Gilroy-Regular" w:eastAsia="Calibri" w:hAnsi="Gilroy-Regular" w:cs="Arial"/>
                <w:color w:val="404040" w:themeColor="text1" w:themeTint="BF"/>
                <w:sz w:val="21"/>
                <w:szCs w:val="21"/>
                <w:shd w:val="clear" w:color="auto" w:fill="FFFFFF"/>
              </w:rPr>
              <w:t>, and consistency of brand standards across jurisdictions</w:t>
            </w:r>
          </w:p>
          <w:p w14:paraId="0B165DF4" w14:textId="5F3E3C64" w:rsidR="00B94931" w:rsidRPr="00B94931" w:rsidRDefault="00B94931" w:rsidP="00B94931">
            <w:pPr>
              <w:numPr>
                <w:ilvl w:val="0"/>
                <w:numId w:val="4"/>
              </w:numPr>
              <w:spacing w:after="160" w:line="240" w:lineRule="auto"/>
              <w:jc w:val="both"/>
              <w:rPr>
                <w:rFonts w:ascii="Gilroy-Regular" w:hAnsi="Gilroy-Regular" w:cs="Arial"/>
                <w:b/>
                <w:color w:val="002952"/>
                <w:sz w:val="21"/>
                <w:szCs w:val="21"/>
              </w:rPr>
            </w:pPr>
            <w:r w:rsidRPr="00B94931">
              <w:rPr>
                <w:rFonts w:ascii="Gilroy-Regular" w:eastAsia="Calibri" w:hAnsi="Gilroy-Regular" w:cs="Arial"/>
                <w:color w:val="404040" w:themeColor="text1" w:themeTint="BF"/>
                <w:sz w:val="21"/>
                <w:szCs w:val="21"/>
                <w:shd w:val="clear" w:color="auto" w:fill="FFFFFF"/>
              </w:rPr>
              <w:t>Strategic involvement in construction and commercial dispute resolution relating to hospitality and development projects, including arbitration matters and settlement structuring</w:t>
            </w:r>
          </w:p>
          <w:p w14:paraId="58EEE8B1" w14:textId="77777777" w:rsidR="00B94931" w:rsidRPr="00B94931" w:rsidRDefault="00B94931" w:rsidP="00B94931">
            <w:pPr>
              <w:spacing w:after="160" w:line="240" w:lineRule="auto"/>
              <w:ind w:left="720"/>
              <w:jc w:val="both"/>
              <w:rPr>
                <w:rFonts w:ascii="Gilroy-Regular" w:hAnsi="Gilroy-Regular" w:cs="Arial"/>
                <w:b/>
                <w:color w:val="002952"/>
                <w:sz w:val="21"/>
                <w:szCs w:val="21"/>
              </w:rPr>
            </w:pPr>
          </w:p>
          <w:p w14:paraId="5ABC1CAC" w14:textId="2BCA4DC6" w:rsidR="00630D17" w:rsidRDefault="00630D17" w:rsidP="00B94931">
            <w:pPr>
              <w:spacing w:after="160" w:line="240" w:lineRule="auto"/>
              <w:jc w:val="both"/>
              <w:rPr>
                <w:rFonts w:ascii="Gilroy-Regular" w:hAnsi="Gilroy-Regular" w:cs="Arial"/>
                <w:b/>
                <w:color w:val="002952"/>
                <w:sz w:val="21"/>
                <w:szCs w:val="21"/>
              </w:rPr>
            </w:pPr>
            <w:r>
              <w:rPr>
                <w:rFonts w:ascii="Gilroy-Regular" w:hAnsi="Gilroy-Regular" w:cs="Arial"/>
                <w:b/>
                <w:color w:val="002952"/>
                <w:sz w:val="21"/>
                <w:szCs w:val="21"/>
              </w:rPr>
              <w:t>Special Projects</w:t>
            </w:r>
          </w:p>
          <w:p w14:paraId="45648AC7"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lastRenderedPageBreak/>
              <w:t>Sasha has played a central role in a number of high-impact hospitality and investment initiatives, including:</w:t>
            </w:r>
          </w:p>
          <w:p w14:paraId="3D2CD181"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Structuring of cross-border hospitality platforms integrating hotel operations, branded residences, and proprietary brand IP across multiple jurisdictions</w:t>
            </w:r>
          </w:p>
          <w:p w14:paraId="7B6E1A33"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Development of operator-aligned governance frameworks for hospitality assets, ensuring balance between brand standards, owner control, and investor protections</w:t>
            </w:r>
          </w:p>
          <w:p w14:paraId="49F01CA6"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Advisory on destination-led hospitality developments, including large-scale resort and mixed-use assets requiring coordination between international operators, investors, and regulators</w:t>
            </w:r>
          </w:p>
          <w:p w14:paraId="1B87EB8B"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Development of investor-aligned governance and control frameworks for family offices and private investment groups, including asset protection, succession alignment, and capital preservation strategies</w:t>
            </w:r>
          </w:p>
          <w:p w14:paraId="4863E1CD"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Advisory on large-scale real estate and infrastructure developments, including destination-led hospitality assets requiring multi-stakeholder coordination and regulatory alignment</w:t>
            </w:r>
          </w:p>
          <w:p w14:paraId="3ADA590E" w14:textId="77777777" w:rsidR="00B94931" w:rsidRP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Design of complex multi-entity group structures (including conglomerates exceeding 30 entities), aligned with international tax, governance, and substance requirements</w:t>
            </w:r>
          </w:p>
          <w:p w14:paraId="56180285"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 Structuring of agriculture-linked investment platforms integrating land ownership, production, and export strategies within a unified commercial and governance model</w:t>
            </w:r>
          </w:p>
          <w:p w14:paraId="300D59FA" w14:textId="7E5D138F" w:rsidR="00B94931" w:rsidRPr="00B94931" w:rsidRDefault="00B94931" w:rsidP="00B94931">
            <w:pPr>
              <w:spacing w:before="100" w:beforeAutospacing="1" w:after="100" w:afterAutospacing="1" w:line="240" w:lineRule="auto"/>
              <w:jc w:val="both"/>
              <w:rPr>
                <w:rFonts w:ascii="Gilroy-Regular" w:eastAsia="Times New Roman" w:hAnsi="Gilroy-Regular" w:cs="Times New Roman"/>
                <w:sz w:val="21"/>
                <w:szCs w:val="21"/>
                <w:lang w:eastAsia="en-AE"/>
              </w:rPr>
            </w:pPr>
            <w:r w:rsidRPr="001E1967">
              <w:rPr>
                <w:rFonts w:ascii="Gilroy-Regular" w:eastAsia="Times New Roman" w:hAnsi="Gilroy-Regular" w:cs="Times New Roman"/>
                <w:sz w:val="21"/>
                <w:szCs w:val="21"/>
                <w:lang w:eastAsia="en-AE"/>
              </w:rPr>
              <w:t xml:space="preserve">• Advisory support to </w:t>
            </w:r>
            <w:r>
              <w:rPr>
                <w:rFonts w:ascii="Gilroy-Regular" w:eastAsia="Times New Roman" w:hAnsi="Gilroy-Regular" w:cs="Times New Roman"/>
                <w:sz w:val="21"/>
                <w:szCs w:val="21"/>
                <w:lang w:eastAsia="en-AE"/>
              </w:rPr>
              <w:t>UAE &amp; MENA Region</w:t>
            </w:r>
            <w:r w:rsidRPr="001E1967">
              <w:rPr>
                <w:rFonts w:ascii="Gilroy-Regular" w:eastAsia="Times New Roman" w:hAnsi="Gilroy-Regular" w:cs="Times New Roman"/>
                <w:sz w:val="21"/>
                <w:szCs w:val="21"/>
                <w:lang w:eastAsia="en-AE"/>
              </w:rPr>
              <w:t>-focused investment platforms and diaspora-led capital strategies, including blended-capital frameworks and institutional alignment mechanisms</w:t>
            </w:r>
            <w:r>
              <w:rPr>
                <w:rFonts w:ascii="Gilroy-Regular" w:eastAsia="Times New Roman" w:hAnsi="Gilroy-Regular" w:cs="Times New Roman"/>
                <w:sz w:val="21"/>
                <w:szCs w:val="21"/>
                <w:lang w:eastAsia="en-AE"/>
              </w:rPr>
              <w:t>.</w:t>
            </w:r>
          </w:p>
          <w:p w14:paraId="2809DBA6"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17CE1ECC"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26E3B658"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3F5BB62D"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174A8AD0" w14:textId="77777777" w:rsidR="00B94931" w:rsidRDefault="00B94931" w:rsidP="00B94931">
            <w:pPr>
              <w:spacing w:after="160" w:line="240" w:lineRule="auto"/>
              <w:jc w:val="both"/>
              <w:rPr>
                <w:rFonts w:ascii="Gilroy-Regular" w:eastAsia="Calibri" w:hAnsi="Gilroy-Regular" w:cs="Arial"/>
                <w:color w:val="404040" w:themeColor="text1" w:themeTint="BF"/>
                <w:sz w:val="21"/>
                <w:szCs w:val="21"/>
                <w:shd w:val="clear" w:color="auto" w:fill="FFFFFF"/>
                <w:lang w:val="en-GB"/>
              </w:rPr>
            </w:pPr>
          </w:p>
          <w:p w14:paraId="7DA4E113" w14:textId="72259D20" w:rsidR="00630D17" w:rsidRPr="00CB0919" w:rsidRDefault="00630D17" w:rsidP="00B94931">
            <w:pPr>
              <w:spacing w:after="160" w:line="240" w:lineRule="auto"/>
              <w:jc w:val="both"/>
              <w:rPr>
                <w:rFonts w:ascii="Gilroy-Regular" w:hAnsi="Gilroy-Regular" w:cs="Arial"/>
                <w:b/>
                <w:color w:val="002952"/>
                <w:sz w:val="21"/>
                <w:szCs w:val="21"/>
              </w:rPr>
            </w:pPr>
            <w:r>
              <w:rPr>
                <w:rFonts w:ascii="Gilroy-Regular" w:hAnsi="Gilroy-Regular" w:cs="Arial"/>
                <w:b/>
                <w:color w:val="002952"/>
                <w:sz w:val="21"/>
                <w:szCs w:val="21"/>
              </w:rPr>
              <w:t>Professional Memberships</w:t>
            </w:r>
          </w:p>
          <w:p w14:paraId="508F1583" w14:textId="182AB9C0" w:rsidR="00B94931" w:rsidRPr="00B94931" w:rsidRDefault="00B94931" w:rsidP="00B94931">
            <w:pPr>
              <w:pStyle w:val="ListParagraph"/>
              <w:numPr>
                <w:ilvl w:val="0"/>
                <w:numId w:val="4"/>
              </w:numPr>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President – Asia Region, African Diaspora Chamber of Commerce (ADCC) (Board-level appointment)</w:t>
            </w:r>
          </w:p>
          <w:p w14:paraId="1C391C6E" w14:textId="2FE00ED8" w:rsidR="00B94931" w:rsidRPr="00B94931" w:rsidRDefault="00B94931" w:rsidP="00B94931">
            <w:pPr>
              <w:pStyle w:val="ListParagraph"/>
              <w:numPr>
                <w:ilvl w:val="0"/>
                <w:numId w:val="4"/>
              </w:numPr>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Active collaboration with humanitarian NGOs across Africa and Europe, supporting the development of training and certification academies, schools, libraries, and orphanages, with a focus on youth education and the creation of sustainable ecosystems for underserved communities</w:t>
            </w:r>
          </w:p>
          <w:p w14:paraId="578D393F" w14:textId="7A0CC0DE" w:rsidR="00B94931" w:rsidRDefault="00B94931" w:rsidP="00B94931">
            <w:pPr>
              <w:numPr>
                <w:ilvl w:val="0"/>
                <w:numId w:val="4"/>
              </w:numPr>
              <w:spacing w:after="160" w:line="240" w:lineRule="auto"/>
              <w:jc w:val="both"/>
              <w:rPr>
                <w:rFonts w:ascii="Gilroy-Regular" w:hAnsi="Gilroy-Regular" w:cs="Arial"/>
                <w:b/>
                <w:color w:val="002952"/>
                <w:sz w:val="21"/>
                <w:szCs w:val="21"/>
              </w:rPr>
            </w:pPr>
            <w:r w:rsidRPr="00B94931">
              <w:rPr>
                <w:rFonts w:ascii="Gilroy-Regular" w:eastAsia="Calibri" w:hAnsi="Gilroy-Regular" w:cs="Arial"/>
                <w:color w:val="404040" w:themeColor="text1" w:themeTint="BF"/>
                <w:sz w:val="21"/>
                <w:szCs w:val="21"/>
                <w:shd w:val="clear" w:color="auto" w:fill="FFFFFF"/>
                <w:lang w:val="en-GB"/>
              </w:rPr>
              <w:lastRenderedPageBreak/>
              <w:t>Active engagement with institutional and investment communities across UAE, Europe, Africa, and Asia</w:t>
            </w:r>
          </w:p>
          <w:p w14:paraId="57D3E58F" w14:textId="77777777" w:rsidR="00B94931" w:rsidRPr="00B94931" w:rsidRDefault="00B94931" w:rsidP="00B94931">
            <w:pPr>
              <w:spacing w:after="160" w:line="240" w:lineRule="auto"/>
              <w:ind w:left="720"/>
              <w:jc w:val="both"/>
              <w:rPr>
                <w:rFonts w:ascii="Gilroy-Regular" w:hAnsi="Gilroy-Regular" w:cs="Arial"/>
                <w:b/>
                <w:color w:val="002952"/>
                <w:sz w:val="21"/>
                <w:szCs w:val="21"/>
              </w:rPr>
            </w:pPr>
          </w:p>
          <w:p w14:paraId="403F2ABD" w14:textId="295C5DF5" w:rsidR="006B4700" w:rsidRPr="006B4700" w:rsidRDefault="006B4700" w:rsidP="00B94931">
            <w:pPr>
              <w:spacing w:after="160" w:line="240" w:lineRule="auto"/>
              <w:ind w:left="360"/>
              <w:jc w:val="both"/>
              <w:rPr>
                <w:rFonts w:ascii="Gilroy-Regular" w:hAnsi="Gilroy-Regular" w:cs="Arial"/>
                <w:b/>
                <w:color w:val="002952"/>
                <w:sz w:val="21"/>
                <w:szCs w:val="21"/>
              </w:rPr>
            </w:pPr>
            <w:r w:rsidRPr="006B4700">
              <w:rPr>
                <w:rFonts w:ascii="Gilroy-Regular" w:hAnsi="Gilroy-Regular" w:cs="Arial"/>
                <w:b/>
                <w:color w:val="002952"/>
                <w:sz w:val="21"/>
                <w:szCs w:val="21"/>
              </w:rPr>
              <w:t>Speaking Engagements</w:t>
            </w:r>
          </w:p>
          <w:p w14:paraId="618F2CAB" w14:textId="5B3B3A05" w:rsidR="00E35396" w:rsidRPr="006B4700" w:rsidRDefault="00B94931" w:rsidP="001879A6">
            <w:pPr>
              <w:numPr>
                <w:ilvl w:val="0"/>
                <w:numId w:val="4"/>
              </w:numPr>
              <w:tabs>
                <w:tab w:val="left" w:pos="2520"/>
              </w:tabs>
              <w:spacing w:beforeLines="60" w:before="144" w:after="60" w:line="240" w:lineRule="auto"/>
              <w:ind w:right="8"/>
              <w:jc w:val="both"/>
              <w:rPr>
                <w:rFonts w:ascii="Gilroy-Regular" w:eastAsia="Calibri" w:hAnsi="Gilroy-Regular" w:cs="Arial"/>
                <w:color w:val="404040" w:themeColor="text1" w:themeTint="BF"/>
                <w:sz w:val="21"/>
                <w:szCs w:val="21"/>
                <w:shd w:val="clear" w:color="auto" w:fill="FFFFFF"/>
                <w:lang w:val="en-GB"/>
              </w:rPr>
            </w:pPr>
            <w:r w:rsidRPr="00B94931">
              <w:rPr>
                <w:rFonts w:ascii="Gilroy-Regular" w:eastAsia="Calibri" w:hAnsi="Gilroy-Regular" w:cs="Arial"/>
                <w:color w:val="404040" w:themeColor="text1" w:themeTint="BF"/>
                <w:sz w:val="21"/>
                <w:szCs w:val="21"/>
                <w:shd w:val="clear" w:color="auto" w:fill="FFFFFF"/>
                <w:lang w:val="en-GB"/>
              </w:rPr>
              <w:t>Engagement in advisory dialogues focused on emerging market hospitality, Africa-linked investment, and diaspora capital</w:t>
            </w:r>
          </w:p>
        </w:tc>
      </w:tr>
    </w:tbl>
    <w:p w14:paraId="4F54CC8C" w14:textId="77777777" w:rsidR="00E35396" w:rsidRPr="00CB0919" w:rsidRDefault="00E35396" w:rsidP="00E35396">
      <w:pPr>
        <w:rPr>
          <w:rFonts w:ascii="Gilroy-Regular" w:hAnsi="Gilroy-Regular"/>
          <w:sz w:val="21"/>
          <w:szCs w:val="21"/>
        </w:rPr>
      </w:pPr>
    </w:p>
    <w:p w14:paraId="0337F413" w14:textId="77777777" w:rsidR="00E35396" w:rsidRPr="00CB0919" w:rsidRDefault="00E35396" w:rsidP="00E35396">
      <w:pPr>
        <w:rPr>
          <w:rFonts w:ascii="Gilroy-Regular" w:hAnsi="Gilroy-Regular"/>
        </w:rPr>
      </w:pPr>
    </w:p>
    <w:p w14:paraId="710F3C64" w14:textId="77777777" w:rsidR="0013088F" w:rsidRDefault="0013088F"/>
    <w:sectPr w:rsidR="0013088F" w:rsidSect="00C02030">
      <w:headerReference w:type="default" r:id="rId13"/>
      <w:footerReference w:type="default" r:id="rId14"/>
      <w:pgSz w:w="11907" w:h="16839" w:code="9"/>
      <w:pgMar w:top="720" w:right="27" w:bottom="720" w:left="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52E8" w14:textId="77777777" w:rsidR="00525659" w:rsidRDefault="00525659">
      <w:pPr>
        <w:spacing w:after="0" w:line="240" w:lineRule="auto"/>
      </w:pPr>
      <w:r>
        <w:separator/>
      </w:r>
    </w:p>
  </w:endnote>
  <w:endnote w:type="continuationSeparator" w:id="0">
    <w:p w14:paraId="7F2FC9CB" w14:textId="77777777" w:rsidR="00525659" w:rsidRDefault="0052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roy-Regular">
    <w:altName w:val="Calibri"/>
    <w:panose1 w:val="020B0604020202020204"/>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Gilroy">
    <w:altName w:val="Cambria"/>
    <w:panose1 w:val="020B0604020202020204"/>
    <w:charset w:val="4D"/>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3030" w14:textId="77777777" w:rsidR="006C19B9" w:rsidRDefault="006C19B9">
    <w:pPr>
      <w:pStyle w:val="Footer"/>
    </w:pPr>
  </w:p>
  <w:p w14:paraId="5E2E94FA" w14:textId="77777777" w:rsidR="006C19B9" w:rsidRDefault="006C19B9">
    <w:pPr>
      <w:pStyle w:val="Footer"/>
    </w:pPr>
  </w:p>
  <w:p w14:paraId="3C161842" w14:textId="77777777" w:rsidR="006C19B9" w:rsidRDefault="006C19B9">
    <w:pPr>
      <w:pStyle w:val="Footer"/>
    </w:pPr>
  </w:p>
  <w:p w14:paraId="36AD62DC" w14:textId="77777777" w:rsidR="006C19B9" w:rsidRDefault="006C19B9">
    <w:pPr>
      <w:pStyle w:val="Footer"/>
    </w:pPr>
  </w:p>
  <w:p w14:paraId="34B66551" w14:textId="77777777" w:rsidR="006C19B9" w:rsidRPr="00C02030" w:rsidRDefault="006C19B9" w:rsidP="00C0203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BAA8" w14:textId="77777777" w:rsidR="00525659" w:rsidRDefault="00525659">
      <w:pPr>
        <w:spacing w:after="0" w:line="240" w:lineRule="auto"/>
      </w:pPr>
      <w:r>
        <w:separator/>
      </w:r>
    </w:p>
  </w:footnote>
  <w:footnote w:type="continuationSeparator" w:id="0">
    <w:p w14:paraId="18213593" w14:textId="77777777" w:rsidR="00525659" w:rsidRDefault="0052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F739" w14:textId="77777777" w:rsidR="006C19B9" w:rsidRDefault="00E84A1D" w:rsidP="009010E4">
    <w:pPr>
      <w:pStyle w:val="Header"/>
    </w:pPr>
    <w:r w:rsidRPr="004C4F7A">
      <w:rPr>
        <w:rFonts w:ascii="Gilroy" w:hAnsi="Gilroy"/>
        <w:noProof/>
      </w:rPr>
      <w:drawing>
        <wp:anchor distT="0" distB="0" distL="114300" distR="114300" simplePos="0" relativeHeight="251659264" behindDoc="0" locked="0" layoutInCell="1" allowOverlap="1" wp14:anchorId="10738D63" wp14:editId="3C03BCF9">
          <wp:simplePos x="0" y="0"/>
          <wp:positionH relativeFrom="margin">
            <wp:posOffset>2823210</wp:posOffset>
          </wp:positionH>
          <wp:positionV relativeFrom="paragraph">
            <wp:posOffset>113030</wp:posOffset>
          </wp:positionV>
          <wp:extent cx="2285365" cy="530860"/>
          <wp:effectExtent l="0" t="0" r="635" b="2540"/>
          <wp:wrapNone/>
          <wp:docPr id="1040264622" name="Picture 1" descr="A blue and black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64622" name="Picture 1" descr="A blue and black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5365" cy="530860"/>
                  </a:xfrm>
                  <a:prstGeom prst="rect">
                    <a:avLst/>
                  </a:prstGeom>
                </pic:spPr>
              </pic:pic>
            </a:graphicData>
          </a:graphic>
          <wp14:sizeRelH relativeFrom="page">
            <wp14:pctWidth>0</wp14:pctWidth>
          </wp14:sizeRelH>
          <wp14:sizeRelV relativeFrom="page">
            <wp14:pctHeight>0</wp14:pctHeight>
          </wp14:sizeRelV>
        </wp:anchor>
      </w:drawing>
    </w:r>
    <w:r w:rsidRPr="004C4F7A">
      <w:rPr>
        <w:rFonts w:ascii="Gilroy" w:hAnsi="Gilroy"/>
        <w:noProof/>
        <w:color w:val="000000"/>
      </w:rPr>
      <w:drawing>
        <wp:anchor distT="0" distB="0" distL="114300" distR="114300" simplePos="0" relativeHeight="251660288" behindDoc="1" locked="0" layoutInCell="1" allowOverlap="1" wp14:anchorId="76756429" wp14:editId="10907295">
          <wp:simplePos x="0" y="0"/>
          <wp:positionH relativeFrom="column">
            <wp:posOffset>0</wp:posOffset>
          </wp:positionH>
          <wp:positionV relativeFrom="paragraph">
            <wp:posOffset>-289560</wp:posOffset>
          </wp:positionV>
          <wp:extent cx="8020050" cy="190500"/>
          <wp:effectExtent l="0" t="0" r="0" b="0"/>
          <wp:wrapNone/>
          <wp:docPr id="1137378306" name="Picture 1137378306"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78306" name="Picture 1137378306" descr="A screen shot of a computer&#10;&#10;Description automatically generated"/>
                  <pic:cNvPicPr/>
                </pic:nvPicPr>
                <pic:blipFill rotWithShape="1">
                  <a:blip r:embed="rId2" cstate="print">
                    <a:extLst>
                      <a:ext uri="{28A0092B-C50C-407E-A947-70E740481C1C}">
                        <a14:useLocalDpi xmlns:a14="http://schemas.microsoft.com/office/drawing/2010/main" val="0"/>
                      </a:ext>
                    </a:extLst>
                  </a:blip>
                  <a:srcRect b="83871"/>
                  <a:stretch/>
                </pic:blipFill>
                <pic:spPr bwMode="auto">
                  <a:xfrm>
                    <a:off x="0" y="0"/>
                    <a:ext cx="8020050" cy="19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7029BD" w14:textId="77777777" w:rsidR="006C19B9" w:rsidRDefault="006C19B9">
    <w:pPr>
      <w:pStyle w:val="Header"/>
    </w:pPr>
  </w:p>
  <w:p w14:paraId="71FDFE04" w14:textId="77777777" w:rsidR="006C19B9" w:rsidRDefault="006C19B9">
    <w:pPr>
      <w:pStyle w:val="Header"/>
    </w:pPr>
  </w:p>
  <w:p w14:paraId="3806CECC" w14:textId="77777777" w:rsidR="006C19B9" w:rsidRDefault="006C19B9">
    <w:pPr>
      <w:pStyle w:val="Header"/>
    </w:pPr>
  </w:p>
  <w:p w14:paraId="78383EF3" w14:textId="77777777" w:rsidR="006C19B9" w:rsidRDefault="006C19B9" w:rsidP="00363A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2F7"/>
    <w:multiLevelType w:val="hybridMultilevel"/>
    <w:tmpl w:val="D644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780A"/>
    <w:multiLevelType w:val="multilevel"/>
    <w:tmpl w:val="F51C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853E2"/>
    <w:multiLevelType w:val="multilevel"/>
    <w:tmpl w:val="9B26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009C5"/>
    <w:multiLevelType w:val="hybridMultilevel"/>
    <w:tmpl w:val="3B5A65D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43D34"/>
    <w:multiLevelType w:val="hybridMultilevel"/>
    <w:tmpl w:val="D83E727C"/>
    <w:lvl w:ilvl="0" w:tplc="5EA6A45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A630E"/>
    <w:multiLevelType w:val="hybridMultilevel"/>
    <w:tmpl w:val="BD08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41773"/>
    <w:multiLevelType w:val="hybridMultilevel"/>
    <w:tmpl w:val="C576B8E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21611F"/>
    <w:multiLevelType w:val="multilevel"/>
    <w:tmpl w:val="4DA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354545">
    <w:abstractNumId w:val="6"/>
  </w:num>
  <w:num w:numId="2" w16cid:durableId="1765570335">
    <w:abstractNumId w:val="2"/>
  </w:num>
  <w:num w:numId="3" w16cid:durableId="1798833785">
    <w:abstractNumId w:val="0"/>
  </w:num>
  <w:num w:numId="4" w16cid:durableId="1826774679">
    <w:abstractNumId w:val="7"/>
  </w:num>
  <w:num w:numId="5" w16cid:durableId="1132331672">
    <w:abstractNumId w:val="1"/>
  </w:num>
  <w:num w:numId="6" w16cid:durableId="182323526">
    <w:abstractNumId w:val="5"/>
  </w:num>
  <w:num w:numId="7" w16cid:durableId="2047681235">
    <w:abstractNumId w:val="3"/>
  </w:num>
  <w:num w:numId="8" w16cid:durableId="140071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96"/>
    <w:rsid w:val="0006642B"/>
    <w:rsid w:val="000947FF"/>
    <w:rsid w:val="000A420C"/>
    <w:rsid w:val="000E6CAA"/>
    <w:rsid w:val="001066D8"/>
    <w:rsid w:val="0013088F"/>
    <w:rsid w:val="00172781"/>
    <w:rsid w:val="001879A6"/>
    <w:rsid w:val="001B0FC5"/>
    <w:rsid w:val="001B5F1D"/>
    <w:rsid w:val="00272CFD"/>
    <w:rsid w:val="002D120B"/>
    <w:rsid w:val="003268A7"/>
    <w:rsid w:val="003C069B"/>
    <w:rsid w:val="00403A90"/>
    <w:rsid w:val="00443A1B"/>
    <w:rsid w:val="00455807"/>
    <w:rsid w:val="00456B8D"/>
    <w:rsid w:val="004E0BB5"/>
    <w:rsid w:val="004E204C"/>
    <w:rsid w:val="00511354"/>
    <w:rsid w:val="00525659"/>
    <w:rsid w:val="00564E41"/>
    <w:rsid w:val="0059686D"/>
    <w:rsid w:val="00630D17"/>
    <w:rsid w:val="00672443"/>
    <w:rsid w:val="006916DE"/>
    <w:rsid w:val="006B4700"/>
    <w:rsid w:val="006C19B9"/>
    <w:rsid w:val="006D4EC7"/>
    <w:rsid w:val="00701AF3"/>
    <w:rsid w:val="00783A5C"/>
    <w:rsid w:val="00814729"/>
    <w:rsid w:val="00882A31"/>
    <w:rsid w:val="00921113"/>
    <w:rsid w:val="00966E03"/>
    <w:rsid w:val="009A501B"/>
    <w:rsid w:val="009C035F"/>
    <w:rsid w:val="00B1535F"/>
    <w:rsid w:val="00B155CC"/>
    <w:rsid w:val="00B4503B"/>
    <w:rsid w:val="00B94931"/>
    <w:rsid w:val="00BA6696"/>
    <w:rsid w:val="00BB1632"/>
    <w:rsid w:val="00BE54EB"/>
    <w:rsid w:val="00C846CD"/>
    <w:rsid w:val="00CE4886"/>
    <w:rsid w:val="00D16C28"/>
    <w:rsid w:val="00D261F1"/>
    <w:rsid w:val="00D45572"/>
    <w:rsid w:val="00DA37C7"/>
    <w:rsid w:val="00DB0EBC"/>
    <w:rsid w:val="00DF5908"/>
    <w:rsid w:val="00E06EC7"/>
    <w:rsid w:val="00E35396"/>
    <w:rsid w:val="00E83DE8"/>
    <w:rsid w:val="00E84A1D"/>
    <w:rsid w:val="00EF3D5A"/>
    <w:rsid w:val="00F34F7F"/>
    <w:rsid w:val="00F36648"/>
    <w:rsid w:val="00F50E52"/>
    <w:rsid w:val="00FA1D05"/>
    <w:rsid w:val="00FD2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AA85C"/>
  <w15:chartTrackingRefBased/>
  <w15:docId w15:val="{294D9335-5776-4EE3-A22B-FD50C9D3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31"/>
    <w:pPr>
      <w:spacing w:after="200" w:line="276" w:lineRule="auto"/>
    </w:pPr>
    <w:rPr>
      <w:kern w:val="0"/>
      <w14:ligatures w14:val="none"/>
    </w:rPr>
  </w:style>
  <w:style w:type="paragraph" w:styleId="Heading1">
    <w:name w:val="heading 1"/>
    <w:basedOn w:val="Normal"/>
    <w:next w:val="Normal"/>
    <w:link w:val="Heading1Char"/>
    <w:uiPriority w:val="9"/>
    <w:qFormat/>
    <w:rsid w:val="00E35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96"/>
    <w:rPr>
      <w:kern w:val="0"/>
      <w14:ligatures w14:val="none"/>
    </w:rPr>
  </w:style>
  <w:style w:type="paragraph" w:styleId="Footer">
    <w:name w:val="footer"/>
    <w:basedOn w:val="Normal"/>
    <w:link w:val="FooterChar"/>
    <w:uiPriority w:val="99"/>
    <w:unhideWhenUsed/>
    <w:rsid w:val="00E3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96"/>
    <w:rPr>
      <w:kern w:val="0"/>
      <w14:ligatures w14:val="none"/>
    </w:rPr>
  </w:style>
  <w:style w:type="table" w:styleId="TableGrid">
    <w:name w:val="Table Grid"/>
    <w:basedOn w:val="TableNormal"/>
    <w:uiPriority w:val="59"/>
    <w:rsid w:val="00E353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5396"/>
    <w:rPr>
      <w:color w:val="0000FF"/>
      <w:u w:val="single"/>
    </w:rPr>
  </w:style>
  <w:style w:type="paragraph" w:customStyle="1" w:styleId="DLAPBodyText">
    <w:name w:val="DLAP Body Text"/>
    <w:basedOn w:val="Heading1"/>
    <w:rsid w:val="00E35396"/>
    <w:pPr>
      <w:keepNext w:val="0"/>
      <w:keepLines w:val="0"/>
      <w:spacing w:before="0" w:after="240" w:line="280" w:lineRule="exact"/>
      <w:ind w:left="2448"/>
    </w:pPr>
    <w:rPr>
      <w:rFonts w:ascii="Times New Roman" w:eastAsia="Times New Roman" w:hAnsi="Times New Roman" w:cs="Arial"/>
      <w:bCs/>
      <w:color w:val="auto"/>
      <w:kern w:val="32"/>
      <w:sz w:val="22"/>
      <w:lang w:val="en-GB"/>
    </w:rPr>
  </w:style>
  <w:style w:type="paragraph" w:customStyle="1" w:styleId="DLAPBioSideBodyText">
    <w:name w:val="DLAP Bio Side Body Text"/>
    <w:basedOn w:val="Normal"/>
    <w:rsid w:val="00E35396"/>
    <w:pPr>
      <w:spacing w:after="0" w:line="240" w:lineRule="exact"/>
    </w:pPr>
    <w:rPr>
      <w:rFonts w:ascii="Arial" w:eastAsia="Times New Roman" w:hAnsi="Arial" w:cs="Times New Roman"/>
      <w:sz w:val="16"/>
      <w:szCs w:val="18"/>
      <w:lang w:val="en-GB"/>
    </w:rPr>
  </w:style>
  <w:style w:type="character" w:customStyle="1" w:styleId="Heading1Char">
    <w:name w:val="Heading 1 Char"/>
    <w:basedOn w:val="DefaultParagraphFont"/>
    <w:link w:val="Heading1"/>
    <w:uiPriority w:val="9"/>
    <w:rsid w:val="00E35396"/>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DB0EB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C035F"/>
    <w:rPr>
      <w:color w:val="605E5C"/>
      <w:shd w:val="clear" w:color="auto" w:fill="E1DFDD"/>
    </w:rPr>
  </w:style>
  <w:style w:type="paragraph" w:styleId="ListParagraph">
    <w:name w:val="List Paragraph"/>
    <w:basedOn w:val="Normal"/>
    <w:uiPriority w:val="34"/>
    <w:qFormat/>
    <w:rsid w:val="000A420C"/>
    <w:pPr>
      <w:ind w:left="720"/>
      <w:contextualSpacing/>
    </w:pPr>
  </w:style>
  <w:style w:type="paragraph" w:styleId="Revision">
    <w:name w:val="Revision"/>
    <w:hidden/>
    <w:uiPriority w:val="99"/>
    <w:semiHidden/>
    <w:rsid w:val="003C069B"/>
    <w:pPr>
      <w:spacing w:after="0" w:line="240" w:lineRule="auto"/>
    </w:pPr>
    <w:rPr>
      <w:kern w:val="0"/>
      <w14:ligatures w14:val="none"/>
    </w:rPr>
  </w:style>
  <w:style w:type="character" w:styleId="FollowedHyperlink">
    <w:name w:val="FollowedHyperlink"/>
    <w:basedOn w:val="DefaultParagraphFont"/>
    <w:uiPriority w:val="99"/>
    <w:semiHidden/>
    <w:unhideWhenUsed/>
    <w:rsid w:val="00272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ndcoleg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sha@mandcoleg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0e9f46-cd1a-4a1b-a87a-99dd61f8a332" xsi:nil="true"/>
    <lcf76f155ced4ddcb4097134ff3c332f xmlns="3f661d02-23e5-4554-8701-f4b9ef9b6e70">
      <Terms xmlns="http://schemas.microsoft.com/office/infopath/2007/PartnerControls"/>
    </lcf76f155ced4ddcb4097134ff3c332f>
    <SharedWithUsers xmlns="a30e9f46-cd1a-4a1b-a87a-99dd61f8a33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AE9381E03CB4DA021E37B3B2281BE" ma:contentTypeVersion="15" ma:contentTypeDescription="Create a new document." ma:contentTypeScope="" ma:versionID="211b6fecbf8bb49bff96a41bf3693c3f">
  <xsd:schema xmlns:xsd="http://www.w3.org/2001/XMLSchema" xmlns:xs="http://www.w3.org/2001/XMLSchema" xmlns:p="http://schemas.microsoft.com/office/2006/metadata/properties" xmlns:ns2="a30e9f46-cd1a-4a1b-a87a-99dd61f8a332" xmlns:ns3="3f661d02-23e5-4554-8701-f4b9ef9b6e70" targetNamespace="http://schemas.microsoft.com/office/2006/metadata/properties" ma:root="true" ma:fieldsID="1c63dc176a92337a79417c5ca568f521" ns2:_="" ns3:_="">
    <xsd:import namespace="a30e9f46-cd1a-4a1b-a87a-99dd61f8a332"/>
    <xsd:import namespace="3f661d02-23e5-4554-8701-f4b9ef9b6e7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e9f46-cd1a-4a1b-a87a-99dd61f8a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0a8142d-f12b-4363-b82f-59cc3a1e26b3}" ma:internalName="TaxCatchAll" ma:showField="CatchAllData" ma:web="a30e9f46-cd1a-4a1b-a87a-99dd61f8a3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661d02-23e5-4554-8701-f4b9ef9b6e7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f0398f-ea01-4182-bec6-7dddf403af3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39F78-5137-45A0-B344-0628B4BBD5E4}">
  <ds:schemaRefs>
    <ds:schemaRef ds:uri="http://schemas.microsoft.com/sharepoint/v3/contenttype/forms"/>
  </ds:schemaRefs>
</ds:datastoreItem>
</file>

<file path=customXml/itemProps2.xml><?xml version="1.0" encoding="utf-8"?>
<ds:datastoreItem xmlns:ds="http://schemas.openxmlformats.org/officeDocument/2006/customXml" ds:itemID="{80FA92CF-8C5E-4C2F-B3A5-E5053F7A263B}">
  <ds:schemaRefs>
    <ds:schemaRef ds:uri="http://schemas.microsoft.com/office/2006/metadata/properties"/>
    <ds:schemaRef ds:uri="http://schemas.microsoft.com/office/infopath/2007/PartnerControls"/>
    <ds:schemaRef ds:uri="a30e9f46-cd1a-4a1b-a87a-99dd61f8a332"/>
    <ds:schemaRef ds:uri="3f661d02-23e5-4554-8701-f4b9ef9b6e70"/>
  </ds:schemaRefs>
</ds:datastoreItem>
</file>

<file path=customXml/itemProps3.xml><?xml version="1.0" encoding="utf-8"?>
<ds:datastoreItem xmlns:ds="http://schemas.openxmlformats.org/officeDocument/2006/customXml" ds:itemID="{41E1181A-9A49-44E1-925E-2E681455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e9f46-cd1a-4a1b-a87a-99dd61f8a332"/>
    <ds:schemaRef ds:uri="3f661d02-23e5-4554-8701-f4b9ef9b6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6306</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Maheem Janjua</dc:creator>
  <cp:keywords/>
  <dc:description/>
  <cp:lastModifiedBy>Anfal Muhammed</cp:lastModifiedBy>
  <cp:revision>2</cp:revision>
  <cp:lastPrinted>2024-02-06T12:11:00Z</cp:lastPrinted>
  <dcterms:created xsi:type="dcterms:W3CDTF">2026-04-15T12:58:00Z</dcterms:created>
  <dcterms:modified xsi:type="dcterms:W3CDTF">2026-04-15T12:58:00Z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c98acd63-34da-45d2-adb0-1447558dd809</vt:lpwstr>
  </property>
  <property fmtid="{D5CDD505-2E9C-101B-9397-08002B2CF9AE}" pid="3" name="ContentTypeId">
    <vt:lpwstr>0x01010009CAE9381E03CB4DA021E37B3B2281BE</vt:lpwstr>
  </property>
  <property fmtid="{D5CDD505-2E9C-101B-9397-08002B2CF9AE}" pid="4" name="MediaServiceImageTags">
    <vt:lpwstr/>
  </property>
  <property fmtid="{D5CDD505-2E9C-101B-9397-08002B2CF9AE}" pid="5" name="Order">
    <vt:r8>1599900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